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yfpxwnkd5ks5wdbu8bhdn">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16 октября 2025 года № 673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 оценки</w:t>
      </w:r>
    </w:p>
    <w:p>
      <w:pPr>
        <w:spacing w:after="120"/>
        <w:jc w:val="both"/>
      </w:pPr>
      <w:r>
        <w:rPr>
          <w:rFonts w:ascii="Arial" w:cs="Arial" w:eastAsia="Arial" w:hAnsi="Arial"/>
          <w:sz w:val="24"/>
          <w:szCs w:val="24"/>
        </w:rPr>
        <w:t xml:space="preserve">нематериальных активов и объектов интеллектуальной собственности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Действие настоящего стандарта распространяется на оценку нематериальных активов и объектов интеллектуальной собственности.</w:t>
      </w:r>
    </w:p>
    <w:p>
      <w:pPr>
        <w:spacing w:after="120"/>
        <w:jc w:val="both"/>
      </w:pPr>
      <w:r>
        <w:rPr>
          <w:rFonts w:ascii="Arial" w:cs="Arial" w:eastAsia="Arial" w:hAnsi="Arial"/>
          <w:sz w:val="24"/>
          <w:szCs w:val="24"/>
        </w:rPr>
        <w:t xml:space="preserve">2. Настоящий стандарт определяет основные понятия, терминологию, методические подходы к оценке нематериальных активов и объекты интеллектуальной собственности.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Термины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Для целей настоящего стандарта используются следующие термины и определения:</w:t>
      </w:r>
    </w:p>
    <w:p>
      <w:pPr>
        <w:spacing w:after="120"/>
        <w:jc w:val="both"/>
      </w:pPr>
      <w:r>
        <w:rPr>
          <w:rFonts w:ascii="Arial" w:cs="Arial" w:eastAsia="Arial" w:hAnsi="Arial"/>
          <w:sz w:val="24"/>
          <w:szCs w:val="24"/>
        </w:rPr>
        <w:t xml:space="preserve">авторский договор - договор, заключаемый между автором произведения или его наследниками и пользователем произведения о передаче на определенный договором срок имущественных прав на данное произведение;</w:t>
      </w:r>
    </w:p>
    <w:p>
      <w:pPr>
        <w:spacing w:after="120"/>
        <w:jc w:val="both"/>
      </w:pPr>
      <w:r>
        <w:rPr>
          <w:rFonts w:ascii="Arial" w:cs="Arial" w:eastAsia="Arial" w:hAnsi="Arial"/>
          <w:sz w:val="24"/>
          <w:szCs w:val="24"/>
        </w:rPr>
        <w:t xml:space="preserve">идентифицируемость нематериальных активов и объектов интеллектуальной собственности - выделяемость в самостоятельную учетную единицу (патент, товарный знак и другое), которая может быть обеспечена за счет:</w:t>
      </w:r>
    </w:p>
    <w:p>
      <w:pPr>
        <w:spacing w:after="120"/>
        <w:jc w:val="both"/>
      </w:pPr>
      <w:r>
        <w:rPr>
          <w:rFonts w:ascii="Arial" w:cs="Arial" w:eastAsia="Arial" w:hAnsi="Arial"/>
          <w:sz w:val="24"/>
          <w:szCs w:val="24"/>
        </w:rPr>
        <w:t xml:space="preserve">- свойства отделяемости (компания может арендовать актив, продать его или обменять, а также распределить между участниками бизнеса конкретные будущие экономические выгоды);</w:t>
      </w:r>
    </w:p>
    <w:p>
      <w:pPr>
        <w:spacing w:after="120"/>
        <w:jc w:val="both"/>
      </w:pPr>
      <w:r>
        <w:rPr>
          <w:rFonts w:ascii="Arial" w:cs="Arial" w:eastAsia="Arial" w:hAnsi="Arial"/>
          <w:sz w:val="24"/>
          <w:szCs w:val="24"/>
        </w:rPr>
        <w:t xml:space="preserve">наличия и характера юридических прав;</w:t>
      </w:r>
    </w:p>
    <w:p>
      <w:pPr>
        <w:spacing w:after="120"/>
        <w:jc w:val="both"/>
      </w:pPr>
      <w:r>
        <w:rPr>
          <w:rFonts w:ascii="Arial" w:cs="Arial" w:eastAsia="Arial" w:hAnsi="Arial"/>
          <w:sz w:val="24"/>
          <w:szCs w:val="24"/>
        </w:rPr>
        <w:t xml:space="preserve">идентификации будущих экономических выгод, поступающих от этого актива;</w:t>
      </w:r>
    </w:p>
    <w:p>
      <w:pPr>
        <w:spacing w:after="120"/>
        <w:jc w:val="both"/>
      </w:pPr>
      <w:r>
        <w:rPr>
          <w:rFonts w:ascii="Arial" w:cs="Arial" w:eastAsia="Arial" w:hAnsi="Arial"/>
          <w:sz w:val="24"/>
          <w:szCs w:val="24"/>
        </w:rPr>
        <w:t xml:space="preserve">ноу-хау - знания и опыт технического и управленческого характера (административного, коммерческого и финансового), применяемые в деятельности предприятия и приносящие доход или иную пользу, при условии обеспечения конфиденциальности;</w:t>
      </w:r>
    </w:p>
    <w:p>
      <w:pPr>
        <w:spacing w:after="120"/>
        <w:jc w:val="both"/>
      </w:pPr>
      <w:r>
        <w:rPr>
          <w:rFonts w:ascii="Arial" w:cs="Arial" w:eastAsia="Arial" w:hAnsi="Arial"/>
          <w:sz w:val="24"/>
          <w:szCs w:val="24"/>
        </w:rPr>
        <w:t xml:space="preserve">объекты интеллектуальной собственности - результаты интеллектуальной деятельности и приравненные к ним средства индивидуализации товаров, работ, услуг юридических лиц, которым предоставляется правовая охрана;</w:t>
      </w:r>
    </w:p>
    <w:p>
      <w:pPr>
        <w:spacing w:after="120"/>
        <w:jc w:val="both"/>
      </w:pPr>
      <w:r>
        <w:rPr>
          <w:rFonts w:ascii="Arial" w:cs="Arial" w:eastAsia="Arial" w:hAnsi="Arial"/>
          <w:sz w:val="24"/>
          <w:szCs w:val="24"/>
        </w:rPr>
        <w:t xml:space="preserve">права на объекты интеллектуальной собственности - права, которые включают исключительное право, являющееся имущественным правом, а также личные неимущественные права и иные права (право следования, право доступа и другие) на объекты интеллектуальной собственности. Права на объекты интеллектуальной собственности не зависят от права собственности на материальный носитель (вещь), в котором выражены соответствующие результаты интеллектуальной деятельности или средство индивидуализации;</w:t>
      </w:r>
    </w:p>
    <w:p>
      <w:pPr>
        <w:spacing w:after="120"/>
        <w:jc w:val="both"/>
      </w:pPr>
      <w:r>
        <w:rPr>
          <w:rFonts w:ascii="Arial" w:cs="Arial" w:eastAsia="Arial" w:hAnsi="Arial"/>
          <w:sz w:val="24"/>
          <w:szCs w:val="24"/>
        </w:rPr>
        <w:t xml:space="preserve">предприятие - имущественный комплекс, используемый для осуществления предпринимательской деятельности. В состав предприятия как имущественного комплекса входят все виды имущества, используемые для его деятельности, включая земельные участки, здания, сооружения, оборудование, инвентарь, сырье, продукцию, права требования, долги, права на обозначения, индивидуализирующие его деятельность (фирменное наименование, товарные знаки), и другие исключительные права, если иное не предусмотрено законодательством или договором;</w:t>
      </w:r>
    </w:p>
    <w:p>
      <w:pPr>
        <w:spacing w:after="120"/>
        <w:jc w:val="both"/>
      </w:pPr>
      <w:r>
        <w:rPr>
          <w:rFonts w:ascii="Arial" w:cs="Arial" w:eastAsia="Arial" w:hAnsi="Arial"/>
          <w:sz w:val="24"/>
          <w:szCs w:val="24"/>
        </w:rPr>
        <w:t xml:space="preserve">стоимость нематериальных активов - разность между стоимостью действующего предприятия и стоимостью его материальных активов;</w:t>
      </w:r>
    </w:p>
    <w:p>
      <w:pPr>
        <w:spacing w:after="120"/>
        <w:jc w:val="both"/>
      </w:pPr>
      <w:r>
        <w:rPr>
          <w:rFonts w:ascii="Arial" w:cs="Arial" w:eastAsia="Arial" w:hAnsi="Arial"/>
          <w:sz w:val="24"/>
          <w:szCs w:val="24"/>
        </w:rPr>
        <w:t xml:space="preserve">стоимость объектов интеллектуальной собственности в рамках действующего предприятия - величина, отражающая совокупную полезность объектов интеллектуальной собственности и представляющая вклад в результаты функционирования предприятия как единого комплекса при производстве товаров и услуг;</w:t>
      </w:r>
    </w:p>
    <w:p>
      <w:pPr>
        <w:spacing w:after="120"/>
        <w:jc w:val="both"/>
      </w:pPr>
      <w:r>
        <w:rPr>
          <w:rFonts w:ascii="Arial" w:cs="Arial" w:eastAsia="Arial" w:hAnsi="Arial"/>
          <w:sz w:val="24"/>
          <w:szCs w:val="24"/>
        </w:rPr>
        <w:t xml:space="preserve">ущерб – расходы, которые лицо, чье право нарушено, произвело или должно будет произвести для восстановления нарушенного права, а также утрата или повреждение имущества.</w:t>
      </w:r>
    </w:p>
    <w:p>
      <w:pPr>
        <w:spacing w:after="120"/>
        <w:jc w:val="both"/>
      </w:pPr>
      <w:r>
        <w:rPr>
          <w:rFonts w:ascii="Arial" w:cs="Arial" w:eastAsia="Arial" w:hAnsi="Arial"/>
          <w:sz w:val="24"/>
          <w:szCs w:val="24"/>
        </w:rPr>
        <w:t xml:space="preserve">4. Для целей настоящего стандарта используются также соответствующие положения стандарта основных понятий и принципов оценки имущества, утвержденного постановлением Правительства Кыргызской Республики «Об утверждении стандартов оценки имущества, обязательных к применению всеми субъектами оценочной деятельности в Кыргызской Республике» от 3 апреля 2006 года № 217.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Объекты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Объектами оценки настоящего стандарта являются нематериальные активы (далее – НМА) и объекты интеллектуальной собственности         (далее – ОИС).</w:t>
      </w:r>
    </w:p>
    <w:p>
      <w:pPr>
        <w:spacing w:after="120"/>
        <w:jc w:val="both"/>
      </w:pPr>
      <w:r>
        <w:rPr>
          <w:rFonts w:ascii="Arial" w:cs="Arial" w:eastAsia="Arial" w:hAnsi="Arial"/>
          <w:sz w:val="24"/>
          <w:szCs w:val="24"/>
        </w:rPr>
        <w:t xml:space="preserve">6. К НМА относятся гудвилл и идентифицированные НМА.</w:t>
      </w:r>
    </w:p>
    <w:p>
      <w:pPr>
        <w:spacing w:after="120"/>
        <w:jc w:val="both"/>
      </w:pPr>
      <w:r>
        <w:rPr>
          <w:rFonts w:ascii="Arial" w:cs="Arial" w:eastAsia="Arial" w:hAnsi="Arial"/>
          <w:sz w:val="24"/>
          <w:szCs w:val="24"/>
        </w:rPr>
        <w:t xml:space="preserve">К критериям признания НМА относятся:</w:t>
      </w:r>
    </w:p>
    <w:p>
      <w:pPr>
        <w:spacing w:after="120"/>
        <w:jc w:val="both"/>
      </w:pPr>
      <w:r>
        <w:rPr>
          <w:rFonts w:ascii="Arial" w:cs="Arial" w:eastAsia="Arial" w:hAnsi="Arial"/>
          <w:sz w:val="24"/>
          <w:szCs w:val="24"/>
        </w:rPr>
        <w:t xml:space="preserve">-    идентифицируемость;</w:t>
      </w:r>
    </w:p>
    <w:p>
      <w:pPr>
        <w:spacing w:after="120"/>
        <w:jc w:val="both"/>
      </w:pPr>
      <w:r>
        <w:rPr>
          <w:rFonts w:ascii="Arial" w:cs="Arial" w:eastAsia="Arial" w:hAnsi="Arial"/>
          <w:sz w:val="24"/>
          <w:szCs w:val="24"/>
        </w:rPr>
        <w:t xml:space="preserve">- способность юридического лица контролировать НМА для получения  экономических выгод;</w:t>
      </w:r>
    </w:p>
    <w:p>
      <w:pPr>
        <w:spacing w:after="120"/>
        <w:jc w:val="both"/>
      </w:pPr>
      <w:r>
        <w:rPr>
          <w:rFonts w:ascii="Arial" w:cs="Arial" w:eastAsia="Arial" w:hAnsi="Arial"/>
          <w:sz w:val="24"/>
          <w:szCs w:val="24"/>
        </w:rPr>
        <w:t xml:space="preserve">- способность приносить в будущем  экономические выгоды.</w:t>
      </w:r>
    </w:p>
    <w:p>
      <w:pPr>
        <w:spacing w:after="120"/>
        <w:jc w:val="both"/>
      </w:pPr>
      <w:r>
        <w:rPr>
          <w:rFonts w:ascii="Arial" w:cs="Arial" w:eastAsia="Arial" w:hAnsi="Arial"/>
          <w:sz w:val="24"/>
          <w:szCs w:val="24"/>
        </w:rPr>
        <w:t xml:space="preserve">7. ОИС подразделяются на группы:</w:t>
      </w:r>
    </w:p>
    <w:p>
      <w:pPr>
        <w:spacing w:after="120"/>
        <w:jc w:val="both"/>
      </w:pPr>
      <w:r>
        <w:rPr>
          <w:rFonts w:ascii="Arial" w:cs="Arial" w:eastAsia="Arial" w:hAnsi="Arial"/>
          <w:sz w:val="24"/>
          <w:szCs w:val="24"/>
        </w:rPr>
        <w:t xml:space="preserve">- объекты промышленной собственности (изобретения, промышленные образцы, полезные модели);</w:t>
      </w:r>
    </w:p>
    <w:p>
      <w:pPr>
        <w:spacing w:after="120"/>
        <w:jc w:val="both"/>
      </w:pPr>
      <w:r>
        <w:rPr>
          <w:rFonts w:ascii="Arial" w:cs="Arial" w:eastAsia="Arial" w:hAnsi="Arial"/>
          <w:sz w:val="24"/>
          <w:szCs w:val="24"/>
        </w:rPr>
        <w:t xml:space="preserve">- средства индивидуализации участников гражданского оборота и производимой ими продукции, работ, услуг (товарные знаки, знаки обслуживания, фирменные наименования, наименование мест происхождения товаров);</w:t>
      </w:r>
    </w:p>
    <w:p>
      <w:pPr>
        <w:spacing w:after="120"/>
        <w:jc w:val="both"/>
      </w:pPr>
      <w:r>
        <w:rPr>
          <w:rFonts w:ascii="Arial" w:cs="Arial" w:eastAsia="Arial" w:hAnsi="Arial"/>
          <w:sz w:val="24"/>
          <w:szCs w:val="24"/>
        </w:rPr>
        <w:t xml:space="preserve">- объекты авторского права (программы для электронно-вычислительных машин (ЭВМ) всех видов, включая прикладные программы и операционные системы, базы данных, литературные произведения, музыкальные произведения, хореографические произведения, произведения живописи, скульптуры, графики, дизайна и другие произведения изобразительного искусства, произведения декоративно-прикладного и сценографического искусства, произведения архитектуры, градостроительства и садово-паркового искусства, фотографические произведения и произведения, полученные способами, аналогичными фотографии, географические, геологические и другие карты, планы, эскизы и произведения, относящиеся к географии, топографии и другим наукам,  и другие произведения);</w:t>
      </w:r>
    </w:p>
    <w:p>
      <w:pPr>
        <w:spacing w:after="120"/>
        <w:jc w:val="both"/>
      </w:pPr>
      <w:r>
        <w:rPr>
          <w:rFonts w:ascii="Arial" w:cs="Arial" w:eastAsia="Arial" w:hAnsi="Arial"/>
          <w:sz w:val="24"/>
          <w:szCs w:val="24"/>
        </w:rPr>
        <w:t xml:space="preserve">- объекты смежных прав (постановки, исполнения, фонограммы, передачи организаций эфирного и кабельного вещания);</w:t>
      </w:r>
    </w:p>
    <w:p>
      <w:pPr>
        <w:spacing w:after="120"/>
        <w:jc w:val="both"/>
      </w:pPr>
      <w:r>
        <w:rPr>
          <w:rFonts w:ascii="Arial" w:cs="Arial" w:eastAsia="Arial" w:hAnsi="Arial"/>
          <w:sz w:val="24"/>
          <w:szCs w:val="24"/>
        </w:rPr>
        <w:t xml:space="preserve">- нетрадиционные ОИС (селекционные достижения, топологии интегральных микросхем, нераскрытая информация, в том числе секреты производства (ноу-хау) и другие).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Подходы к оценке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8. При оценке НМА и ОИС применяются следующие подходы:</w:t>
      </w:r>
    </w:p>
    <w:p>
      <w:pPr>
        <w:spacing w:after="120"/>
        <w:jc w:val="both"/>
      </w:pPr>
      <w:r>
        <w:rPr>
          <w:rFonts w:ascii="Arial" w:cs="Arial" w:eastAsia="Arial" w:hAnsi="Arial"/>
          <w:sz w:val="24"/>
          <w:szCs w:val="24"/>
        </w:rPr>
        <w:t xml:space="preserve">- затратный;</w:t>
      </w:r>
    </w:p>
    <w:p>
      <w:pPr>
        <w:spacing w:after="120"/>
        <w:jc w:val="both"/>
      </w:pPr>
      <w:r>
        <w:rPr>
          <w:rFonts w:ascii="Arial" w:cs="Arial" w:eastAsia="Arial" w:hAnsi="Arial"/>
          <w:sz w:val="24"/>
          <w:szCs w:val="24"/>
        </w:rPr>
        <w:t xml:space="preserve">- сравнительный;</w:t>
      </w:r>
    </w:p>
    <w:p>
      <w:pPr>
        <w:spacing w:after="120"/>
        <w:jc w:val="both"/>
      </w:pPr>
      <w:r>
        <w:rPr>
          <w:rFonts w:ascii="Arial" w:cs="Arial" w:eastAsia="Arial" w:hAnsi="Arial"/>
          <w:sz w:val="24"/>
          <w:szCs w:val="24"/>
        </w:rPr>
        <w:t xml:space="preserve">- доходный.</w:t>
      </w:r>
    </w:p>
    <w:p>
      <w:pPr>
        <w:spacing w:after="120"/>
        <w:jc w:val="both"/>
      </w:pPr>
      <w:r>
        <w:rPr>
          <w:rFonts w:ascii="Arial" w:cs="Arial" w:eastAsia="Arial" w:hAnsi="Arial"/>
          <w:sz w:val="24"/>
          <w:szCs w:val="24"/>
        </w:rPr>
        <w:t xml:space="preserve">9. Затратный подход - подход к оценке стоимости имущества, согласно которому стоимость имущества складывается из затрат на приобретение или воссоздание всех составляющих оцениваемых НМА и ОИС, с учетом износа.</w:t>
      </w:r>
    </w:p>
    <w:p>
      <w:pPr>
        <w:spacing w:after="120"/>
        <w:jc w:val="both"/>
      </w:pPr>
      <w:r>
        <w:rPr>
          <w:rFonts w:ascii="Arial" w:cs="Arial" w:eastAsia="Arial" w:hAnsi="Arial"/>
          <w:sz w:val="24"/>
          <w:szCs w:val="24"/>
        </w:rPr>
        <w:t xml:space="preserve">При использовании затратного подхода для оценки НМА и ОИС  проводятся следующие работы:</w:t>
      </w:r>
    </w:p>
    <w:p>
      <w:pPr>
        <w:spacing w:after="120"/>
        <w:jc w:val="both"/>
      </w:pPr>
      <w:r>
        <w:rPr>
          <w:rFonts w:ascii="Arial" w:cs="Arial" w:eastAsia="Arial" w:hAnsi="Arial"/>
          <w:sz w:val="24"/>
          <w:szCs w:val="24"/>
        </w:rPr>
        <w:t xml:space="preserve">- выявляются суммарные затраты, связанные с приобретением, созданием или введением в действие НМА и ОИС, с учетом предпринимательской прибыли на дату оценки;</w:t>
      </w:r>
    </w:p>
    <w:p>
      <w:pPr>
        <w:spacing w:after="120"/>
        <w:jc w:val="both"/>
      </w:pPr>
      <w:r>
        <w:rPr>
          <w:rFonts w:ascii="Arial" w:cs="Arial" w:eastAsia="Arial" w:hAnsi="Arial"/>
          <w:sz w:val="24"/>
          <w:szCs w:val="24"/>
        </w:rPr>
        <w:t xml:space="preserve">- определяется величина степени совокупного износа НМА и ОИС в денежном выражении путем сложения;</w:t>
      </w:r>
    </w:p>
    <w:p>
      <w:pPr>
        <w:spacing w:after="120"/>
        <w:jc w:val="both"/>
      </w:pPr>
      <w:r>
        <w:rPr>
          <w:rFonts w:ascii="Arial" w:cs="Arial" w:eastAsia="Arial" w:hAnsi="Arial"/>
          <w:sz w:val="24"/>
          <w:szCs w:val="24"/>
        </w:rPr>
        <w:t xml:space="preserve">- стоимость НМА и ОИС определяется как разница между скорректированной величиной затрат и совокупным износом.</w:t>
      </w:r>
    </w:p>
    <w:p>
      <w:pPr>
        <w:spacing w:after="120"/>
        <w:jc w:val="both"/>
      </w:pPr>
      <w:r>
        <w:rPr>
          <w:rFonts w:ascii="Arial" w:cs="Arial" w:eastAsia="Arial" w:hAnsi="Arial"/>
          <w:sz w:val="24"/>
          <w:szCs w:val="24"/>
        </w:rPr>
        <w:t xml:space="preserve">При оценке следует учитывать все существенные расходы, связанные с объектами оценки: оплата труда, маркетинговые и рекламные расходы, расходы на страхование рисков, расходы и издержки на решение правовых конфликтов, на израсходованные материалы, себестоимость научно-методического обеспечения, индивидуализация собственной продукции.</w:t>
      </w:r>
    </w:p>
    <w:p>
      <w:pPr>
        <w:spacing w:after="120"/>
        <w:jc w:val="both"/>
      </w:pPr>
      <w:r>
        <w:rPr>
          <w:rFonts w:ascii="Arial" w:cs="Arial" w:eastAsia="Arial" w:hAnsi="Arial"/>
          <w:sz w:val="24"/>
          <w:szCs w:val="24"/>
        </w:rPr>
        <w:t xml:space="preserve">При определении степени износа необходимо учитывать влияние оставшегося срока службы НМА и  функционального и экономического износа.</w:t>
      </w:r>
    </w:p>
    <w:p>
      <w:pPr>
        <w:spacing w:after="120"/>
        <w:jc w:val="both"/>
      </w:pPr>
      <w:r>
        <w:rPr>
          <w:rFonts w:ascii="Arial" w:cs="Arial" w:eastAsia="Arial" w:hAnsi="Arial"/>
          <w:sz w:val="24"/>
          <w:szCs w:val="24"/>
        </w:rPr>
        <w:t xml:space="preserve">10. Сравнительный подход - подход к оценке, согласно которому стоимость имущества определяется на уровне цен подобных объектов с учетом соответствующей корректировки отличий между ними.</w:t>
      </w:r>
    </w:p>
    <w:p>
      <w:pPr>
        <w:spacing w:after="120"/>
        <w:jc w:val="both"/>
      </w:pPr>
      <w:r>
        <w:rPr>
          <w:rFonts w:ascii="Arial" w:cs="Arial" w:eastAsia="Arial" w:hAnsi="Arial"/>
          <w:sz w:val="24"/>
          <w:szCs w:val="24"/>
        </w:rPr>
        <w:t xml:space="preserve">Применение сравнительного подхода возможно при условии существования сопоставимых НМА и ОИС, которые присутствуют в той же отрасли или бизнесе, что и рассматриваемый объект.</w:t>
      </w:r>
    </w:p>
    <w:p>
      <w:pPr>
        <w:spacing w:after="120"/>
        <w:jc w:val="both"/>
      </w:pPr>
      <w:r>
        <w:rPr>
          <w:rFonts w:ascii="Arial" w:cs="Arial" w:eastAsia="Arial" w:hAnsi="Arial"/>
          <w:sz w:val="24"/>
          <w:szCs w:val="24"/>
        </w:rPr>
        <w:t xml:space="preserve">Процедура оценки строится на внесении в цены сопоставимых объектов поправок (корректировок), учитывающих имеющиеся у них существенные отличия от объекта оценки и условия проведения сделок.</w:t>
      </w:r>
    </w:p>
    <w:p>
      <w:pPr>
        <w:spacing w:after="120"/>
        <w:jc w:val="both"/>
      </w:pPr>
      <w:r>
        <w:rPr>
          <w:rFonts w:ascii="Arial" w:cs="Arial" w:eastAsia="Arial" w:hAnsi="Arial"/>
          <w:sz w:val="24"/>
          <w:szCs w:val="24"/>
        </w:rPr>
        <w:t xml:space="preserve">Определение стоимости НМА и ОИС возможно проводить с применением коэффициентов (мультипликаторов), представляющих собой цену, деленную на некоторую величину дохода или чистых активов. При этом следует учитывать существующие различия с учетом фактора времени, а также изменения обстоятельств в экономике, отрасли и состоянии  НМА и ОИС.</w:t>
      </w:r>
    </w:p>
    <w:p>
      <w:pPr>
        <w:spacing w:after="120"/>
        <w:jc w:val="both"/>
      </w:pPr>
      <w:r>
        <w:rPr>
          <w:rFonts w:ascii="Arial" w:cs="Arial" w:eastAsia="Arial" w:hAnsi="Arial"/>
          <w:sz w:val="24"/>
          <w:szCs w:val="24"/>
        </w:rPr>
        <w:t xml:space="preserve">     11. Доходный подход - подход к  оценке,  согласно  которому  стоимость имущества  определяется как текущая стоимость имущества,  равная приведенной стоимости ожидаемых будущих доходов от его  использования  и/или продажи, с учетом структуры, доходов, сроков и рисков.</w:t>
      </w:r>
    </w:p>
    <w:p>
      <w:pPr>
        <w:spacing w:after="120"/>
        <w:jc w:val="both"/>
      </w:pPr>
      <w:r>
        <w:rPr>
          <w:rFonts w:ascii="Arial" w:cs="Arial" w:eastAsia="Arial" w:hAnsi="Arial"/>
          <w:sz w:val="24"/>
          <w:szCs w:val="24"/>
        </w:rPr>
        <w:t xml:space="preserve">Под будущими доходами следует понимать доходы, создаваемые непосредственно этим объектом. Доходы следует рассматривать в качестве денежного потока, образующегося от использования НМА и ОИС.</w:t>
      </w:r>
    </w:p>
    <w:p>
      <w:pPr>
        <w:spacing w:after="120"/>
        <w:jc w:val="both"/>
      </w:pPr>
      <w:r>
        <w:rPr>
          <w:rFonts w:ascii="Arial" w:cs="Arial" w:eastAsia="Arial" w:hAnsi="Arial"/>
          <w:sz w:val="24"/>
          <w:szCs w:val="24"/>
        </w:rPr>
        <w:t xml:space="preserve">При использовании доходного подхода в рамках любого метода оценка выполняется в следующей последовательности:</w:t>
      </w:r>
    </w:p>
    <w:p>
      <w:pPr>
        <w:spacing w:after="120"/>
        <w:jc w:val="both"/>
      </w:pPr>
      <w:r>
        <w:rPr>
          <w:rFonts w:ascii="Arial" w:cs="Arial" w:eastAsia="Arial" w:hAnsi="Arial"/>
          <w:sz w:val="24"/>
          <w:szCs w:val="24"/>
        </w:rPr>
        <w:t xml:space="preserve">- выделяется денежный поток, создаваемый НМА и ОИС при текущем использовании;</w:t>
      </w:r>
    </w:p>
    <w:p>
      <w:pPr>
        <w:spacing w:after="120"/>
        <w:jc w:val="both"/>
      </w:pPr>
      <w:r>
        <w:rPr>
          <w:rFonts w:ascii="Arial" w:cs="Arial" w:eastAsia="Arial" w:hAnsi="Arial"/>
          <w:sz w:val="24"/>
          <w:szCs w:val="24"/>
        </w:rPr>
        <w:t xml:space="preserve">- прогнозируются будущие изменения денежных потоков с учетом темпов их роста и продолжительности поступления;</w:t>
      </w:r>
    </w:p>
    <w:p>
      <w:pPr>
        <w:spacing w:after="120"/>
        <w:jc w:val="both"/>
      </w:pPr>
      <w:r>
        <w:rPr>
          <w:rFonts w:ascii="Arial" w:cs="Arial" w:eastAsia="Arial" w:hAnsi="Arial"/>
          <w:sz w:val="24"/>
          <w:szCs w:val="24"/>
        </w:rPr>
        <w:t xml:space="preserve">- определяется ставка  дисконта для приведения будущих выгод к дате оценки;</w:t>
      </w:r>
    </w:p>
    <w:p>
      <w:pPr>
        <w:spacing w:after="120"/>
        <w:jc w:val="both"/>
      </w:pPr>
      <w:r>
        <w:rPr>
          <w:rFonts w:ascii="Arial" w:cs="Arial" w:eastAsia="Arial" w:hAnsi="Arial"/>
          <w:sz w:val="24"/>
          <w:szCs w:val="24"/>
        </w:rPr>
        <w:t xml:space="preserve">рассчитывается стоимость объекта по состоянию на дату оценки.</w:t>
      </w:r>
    </w:p>
    <w:p>
      <w:pPr>
        <w:spacing w:after="120"/>
        <w:jc w:val="both"/>
      </w:pPr>
      <w:r>
        <w:rPr>
          <w:rFonts w:ascii="Arial" w:cs="Arial" w:eastAsia="Arial" w:hAnsi="Arial"/>
          <w:sz w:val="24"/>
          <w:szCs w:val="24"/>
        </w:rPr>
        <w:t xml:space="preserve">Ставка капитализации и  ставка дисконта  определяются по данным рынка и выражаются как ценовой мультипликатор (определяемый по данным об открыто продаваемых бизнесах или сделках) или как процентная ставка (определяемая по данным об альтернативных инвестициях).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5. Особенности оценки НМА и ОИС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Оценка НМА и ОИС может осуществляться в  целях:</w:t>
      </w:r>
    </w:p>
    <w:p>
      <w:pPr>
        <w:spacing w:after="120"/>
        <w:jc w:val="both"/>
      </w:pPr>
      <w:r>
        <w:rPr>
          <w:rFonts w:ascii="Arial" w:cs="Arial" w:eastAsia="Arial" w:hAnsi="Arial"/>
          <w:sz w:val="24"/>
          <w:szCs w:val="24"/>
        </w:rPr>
        <w:t xml:space="preserve">- заключения лицензионных, авторских и других договоров о предоставлении прав на использование НМА и ОИС;</w:t>
      </w:r>
    </w:p>
    <w:p>
      <w:pPr>
        <w:spacing w:after="120"/>
        <w:jc w:val="both"/>
      </w:pPr>
      <w:r>
        <w:rPr>
          <w:rFonts w:ascii="Arial" w:cs="Arial" w:eastAsia="Arial" w:hAnsi="Arial"/>
          <w:sz w:val="24"/>
          <w:szCs w:val="24"/>
        </w:rPr>
        <w:t xml:space="preserve">- создания ОИС;</w:t>
      </w:r>
    </w:p>
    <w:p>
      <w:pPr>
        <w:spacing w:after="120"/>
        <w:jc w:val="both"/>
      </w:pPr>
      <w:r>
        <w:rPr>
          <w:rFonts w:ascii="Arial" w:cs="Arial" w:eastAsia="Arial" w:hAnsi="Arial"/>
          <w:sz w:val="24"/>
          <w:szCs w:val="24"/>
        </w:rPr>
        <w:t xml:space="preserve">- разработки инвестиционных, инновационных и других проектов, предусматривающих использование НМА и ОИС;</w:t>
      </w:r>
    </w:p>
    <w:p>
      <w:pPr>
        <w:spacing w:after="120"/>
        <w:jc w:val="both"/>
      </w:pPr>
      <w:r>
        <w:rPr>
          <w:rFonts w:ascii="Arial" w:cs="Arial" w:eastAsia="Arial" w:hAnsi="Arial"/>
          <w:sz w:val="24"/>
          <w:szCs w:val="24"/>
        </w:rPr>
        <w:t xml:space="preserve">- определения экономического эффекта от использования НМА и ОИС;</w:t>
      </w:r>
    </w:p>
    <w:p>
      <w:pPr>
        <w:spacing w:after="120"/>
        <w:jc w:val="both"/>
      </w:pPr>
      <w:r>
        <w:rPr>
          <w:rFonts w:ascii="Arial" w:cs="Arial" w:eastAsia="Arial" w:hAnsi="Arial"/>
          <w:sz w:val="24"/>
          <w:szCs w:val="24"/>
        </w:rPr>
        <w:t xml:space="preserve">- оценки ущерба от нарушения прав на  НМА и ОИС;</w:t>
      </w:r>
    </w:p>
    <w:p>
      <w:pPr>
        <w:spacing w:after="120"/>
        <w:jc w:val="both"/>
      </w:pPr>
      <w:r>
        <w:rPr>
          <w:rFonts w:ascii="Arial" w:cs="Arial" w:eastAsia="Arial" w:hAnsi="Arial"/>
          <w:sz w:val="24"/>
          <w:szCs w:val="24"/>
        </w:rPr>
        <w:t xml:space="preserve">определения размера вознаграждения авторам ОИС и лицам, содействующим их использованию;</w:t>
      </w:r>
    </w:p>
    <w:p>
      <w:pPr>
        <w:spacing w:after="120"/>
        <w:jc w:val="both"/>
      </w:pPr>
      <w:r>
        <w:rPr>
          <w:rFonts w:ascii="Arial" w:cs="Arial" w:eastAsia="Arial" w:hAnsi="Arial"/>
          <w:sz w:val="24"/>
          <w:szCs w:val="24"/>
        </w:rPr>
        <w:t xml:space="preserve">приобретения, преобразования и ликвидации юридического лица;</w:t>
      </w:r>
    </w:p>
    <w:p>
      <w:pPr>
        <w:spacing w:after="120"/>
        <w:jc w:val="both"/>
      </w:pPr>
      <w:r>
        <w:rPr>
          <w:rFonts w:ascii="Arial" w:cs="Arial" w:eastAsia="Arial" w:hAnsi="Arial"/>
          <w:sz w:val="24"/>
          <w:szCs w:val="24"/>
        </w:rPr>
        <w:t xml:space="preserve">- в других случаях, когда учитываются результаты оценки НМА и ОИС или затрагиваются вопросы осуществления, или изменения прав на них.</w:t>
      </w:r>
    </w:p>
    <w:p>
      <w:pPr>
        <w:spacing w:after="120"/>
        <w:jc w:val="both"/>
      </w:pPr>
      <w:r>
        <w:rPr>
          <w:rFonts w:ascii="Arial" w:cs="Arial" w:eastAsia="Arial" w:hAnsi="Arial"/>
          <w:sz w:val="24"/>
          <w:szCs w:val="24"/>
        </w:rPr>
        <w:t xml:space="preserve">13. При оценке  ОИС  учитывается независимость права на ОИС от права собственности на материальный носитель, в котором выражены соответствующие результаты интеллектуальной деятельности или средство индивидуализации.</w:t>
      </w:r>
    </w:p>
    <w:p>
      <w:pPr>
        <w:spacing w:after="120"/>
        <w:jc w:val="both"/>
      </w:pPr>
      <w:r>
        <w:rPr>
          <w:rFonts w:ascii="Arial" w:cs="Arial" w:eastAsia="Arial" w:hAnsi="Arial"/>
          <w:sz w:val="24"/>
          <w:szCs w:val="24"/>
        </w:rPr>
        <w:t xml:space="preserve">14. Идентифицируемые НМА оценивают индивидуально. При этом учитывается оставшийся срок службы и приносимые за этот срок измеримые выгоды.</w:t>
      </w:r>
    </w:p>
    <w:p>
      <w:pPr>
        <w:spacing w:after="120"/>
        <w:jc w:val="both"/>
      </w:pPr>
      <w:r>
        <w:rPr>
          <w:rFonts w:ascii="Arial" w:cs="Arial" w:eastAsia="Arial" w:hAnsi="Arial"/>
          <w:sz w:val="24"/>
          <w:szCs w:val="24"/>
        </w:rPr>
        <w:t xml:space="preserve">15. Права на  НМА и ОИС охраняются в соответствии с законодательством Кыргызской Республики и подтверждаются соответствующими документами.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hsdct-fifwppdoohpw-p">
      <w:r>
        <w:rPr>
          <w:rFonts w:ascii="Arial" w:cs="Arial" w:eastAsia="Arial" w:hAnsi="Arial"/>
          <w:color w:val="132D3F"/>
          <w:sz w:val="16"/>
          <w:szCs w:val="16"/>
          <w:u w:val="single"/>
        </w:rPr>
        <w:t xml:space="preserve">dalil.kg/document/97101</w:t>
      </w:r>
    </w:hyperlink>
  </w:p>
  <w:p>
    <w:pPr>
      <w:spacing w:after="0" w:before="40"/>
      <w:jc w:val="center"/>
    </w:pPr>
    <w:hyperlink w:history="1" r:id="rIdeq3oeza7celnox4j8ysg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fpxwnkd5ks5wdbu8bhdn" Type="http://schemas.openxmlformats.org/officeDocument/2006/relationships/hyperlink" Target="https://dalil.kg/document/23003634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hsdct-fifwppdoohpw-p" Type="http://schemas.openxmlformats.org/officeDocument/2006/relationships/hyperlink" Target="https://dalil.kg/document/97101" TargetMode="External"/><Relationship Id="rIdeq3oeza7celnox4j8ysg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2026-09-25T12:30:30.177Z</dcterms:created>
  <dcterms:modified xsi:type="dcterms:W3CDTF">2026-09-25T12:30:30.177Z</dcterms:modified>
</cp:coreProperties>
</file>

<file path=docProps/custom.xml><?xml version="1.0" encoding="utf-8"?>
<Properties xmlns="http://schemas.openxmlformats.org/officeDocument/2006/custom-properties" xmlns:vt="http://schemas.openxmlformats.org/officeDocument/2006/docPropsVTypes"/>
</file>