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2014 года № 758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</w:t>
      </w:r>
      <w:r>
        <w:rPr>
          <w:rFonts w:ascii="Arial" w:cs="Arial" w:eastAsia="Arial" w:hAnsi="Arial"/>
          <w:sz w:val="24"/>
          <w:szCs w:val="24"/>
        </w:rPr>
        <w:t xml:space="preserve">определения размера </w:t>
      </w:r>
      <w:r>
        <w:rPr>
          <w:rFonts w:ascii="Arial" w:cs="Arial" w:eastAsia="Arial" w:hAnsi="Arial"/>
          <w:sz w:val="24"/>
          <w:szCs w:val="24"/>
        </w:rPr>
        <w:t xml:space="preserve">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пользование жилым помещением </w:t>
      </w:r>
      <w:r>
        <w:rPr>
          <w:rFonts w:ascii="Arial" w:cs="Arial" w:eastAsia="Arial" w:hAnsi="Arial"/>
          <w:sz w:val="24"/>
          <w:szCs w:val="24"/>
        </w:rPr>
        <w:t xml:space="preserve">(кваритрной платы) в домах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жилищного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53 </w:t>
      </w:r>
      <w:hyperlink w:history="1" r:id="rIdp-07qkandt89_mpynor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Жилищного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Порядок определения размера платы за пользование жилым помещением (кваритрной платы) в домах государственного жилищного фонда согласно </w:t>
      </w:r>
      <w:hyperlink w:history="1" r:id="rIdgvxmayf-gzawuywdxgu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при определении размера платы за пользовании жилым помещением (кваритрной платы) в домах государственного жилищного фонда руководствоваться Порядком, утвержденным пунктом 1 настоящего постановления.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не ранее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размера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пользование жилым помещением (кваритрной платы) в домах государственного жилищного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состав платы за пользование жилым помещением (кваритрной платы) в домах государственного жилищного фонда входить сумма оплаты расходов за техническое содержание вспомогательных помещений общего пользования в многоквартирном доме и придомового земельного участка, а также сумма, направляемая в Фонд развития жилищного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платы за пользование жилым помещением по договорам найма жилых помещений (кваритрной платы) в домах государственного жилищного фонда определяется исходя из платы за один квадратный метр  занимаемой общей площади  (в отдельных комнатах – исходя из площади этих комнат) жилого помещения путем умножения на общую площадь занимаемого жилого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Плата (Н) за один квадратный метр занимаемой общей площади  жилого помещения (далее - Плата) рассчитывается, как произведение базовой платы (Нб) за один квадратный метр занимаемой общей площади  жилые его помещения (далее – базовая плата) на коэффициенты, учитывающие благоустройство, комфортность и месторасположение жилого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 = Нб х Кб х Кк х Км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Кб - коэффициент благоустроенности жилого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Кк - коэффициент комфортности жилого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Км - коэффициент месторасположения жилого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Кб - коэффициент отражающий благоустроенность жилого помещения: наличие  лифта, горячего и холодного водоснабжения, водоотведения, центрального отопления и газоснабжения.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Кб в жилых помещениях, в которых отсутствуют горячее и холодное водоснабжение или водоотведение или центральное отопление и газоснабжение уменьшается на показатель 0,1 за каждый отсутствующий вид инженерного обустройства, но не более чем на  0,5.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9"/>
        <w:gridCol w:w="8129"/>
        <w:gridCol w:w="1400"/>
      </w:tblGrid>
      <w:tr>
        <w:tc>
          <w:tcPr>
            <w:tcW w:type="dxa" w:w="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жилых помещений</w:t>
            </w:r>
          </w:p>
        </w:tc>
        <w:tc>
          <w:tcPr>
            <w:tcW w:type="dxa" w:w="1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помещения, имеющие  все виды благоустройства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  помещения, в котором отсутствует один вид инженерного обустройства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Кк - коэффициент комфортности жилого помещения определяется отношением общей площади жилого помещения к жилой площади жилого помещения.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0"/>
        <w:gridCol w:w="8125"/>
        <w:gridCol w:w="1403"/>
      </w:tblGrid>
      <w:tr>
        <w:tc>
          <w:tcPr>
            <w:tcW w:type="dxa" w:w="6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общей площади жилого помещения к жилой площади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</w:t>
            </w:r>
          </w:p>
        </w:tc>
      </w:tr>
      <w:tr>
        <w:tc>
          <w:tcPr>
            <w:tcW w:type="dxa" w:w="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енее 1,5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 1,5 до 2,1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 2,1 и более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Км – коэффициент месторасположения жилого помещения,  отражает близость жилого помещения   к центральной части населенного пункта.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0"/>
        <w:gridCol w:w="8091"/>
        <w:gridCol w:w="1437"/>
      </w:tblGrid>
      <w:tr>
        <w:tc>
          <w:tcPr>
            <w:tcW w:type="dxa" w:w="6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Месторасположение жилых помещений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Км</w:t>
            </w:r>
          </w:p>
        </w:tc>
      </w:tr>
      <w:tr>
        <w:tc>
          <w:tcPr>
            <w:tcW w:type="dxa" w:w="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помещения, расположенные в срединной части города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1,0</w:t>
            </w:r>
          </w:p>
        </w:tc>
      </w:tr>
      <w:tr>
        <w:tc>
          <w:tcPr>
            <w:tcW w:type="dxa" w:w="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помещения, расположенные в отдаленной части города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0,9</w:t>
            </w:r>
          </w:p>
        </w:tc>
      </w:tr>
      <w:tr>
        <w:tc>
          <w:tcPr>
            <w:tcW w:type="dxa" w:w="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помещения, расположенные в сельской местности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0,8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Базовая плата определяется по формуле: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Нб = С х Р / (Тх12),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Нб – базовая плата;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С- коэффициент соответствия платы для нанимателей рыночной стоимости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Р - средняя рыночная цена за один квадратный метр жилья в соответствующем населенном пункте;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 12 - число месяцев в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Т – нормативный срок  службы здания (дома).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95"/>
        <w:gridCol w:w="5850"/>
        <w:gridCol w:w="1433"/>
      </w:tblGrid>
      <w:tr>
        <w:tc>
          <w:tcPr>
            <w:tcW w:type="dxa" w:w="28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Группы многоквартирных и инд.домов</w:t>
            </w:r>
          </w:p>
        </w:tc>
        <w:tc>
          <w:tcPr>
            <w:tcW w:type="dxa" w:w="58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фундаментов, стен и перекрытий</w:t>
            </w:r>
          </w:p>
        </w:tc>
        <w:tc>
          <w:tcPr>
            <w:tcW w:type="dxa" w:w="14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(лет)</w:t>
            </w:r>
          </w:p>
        </w:tc>
      </w:tr>
      <w:tr>
        <w:tc>
          <w:tcPr>
            <w:tcW w:type="dxa" w:w="28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группа</w:t>
            </w:r>
          </w:p>
        </w:tc>
        <w:tc>
          <w:tcPr>
            <w:tcW w:type="dxa" w:w="58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каменные, обыкновенные; фундаменты - каменные, стены - каменные (кирпичные), крупноблочные и крупнопанельные, перекрытия - железобетонные или смешанные (деревянные и железобетонные), а также каменные своды по металлическим балкам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4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28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группа</w:t>
            </w:r>
          </w:p>
        </w:tc>
        <w:tc>
          <w:tcPr>
            <w:tcW w:type="dxa" w:w="58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каменные, облегченные; фундаменты каменные и бетонные, стены - облегченной кладки из кирпича, шлакоблоков и ракушечника, перекрытия - деревянные, железобетонные или каменные по металлическим балкам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4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28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группа</w:t>
            </w:r>
          </w:p>
        </w:tc>
        <w:tc>
          <w:tcPr>
            <w:tcW w:type="dxa" w:w="58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деревянные, рубленые и брусчатые, смешанной конструкции; фундаменты - ленточные бутовые, стены - рубленые, брусчатые и смешанные (кирпичные и деревянные), перекрытия – деревянные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4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Средняя рыночная цена жилья за один квадратный метр в соответствующем населенном пункте определяется по данным (индексу цен) уполномоченного государственного органа в сфере регистрации прав на недвижимое имущество  и сделок с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Коэффициент соответствия платы для нанимателей рыночной стоимости жилья (С) представляет собой долю оплаты нанимателями затрат собственника жилого помещения на строительство и реконструкцию жилищного фонда, в котором жилые помещения предоставляются по договорам найма жилого помещения государственного жилищного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служебных жилых помещений государственного жилищного фонда, а также жилых помещений специализированного жилищного фонда предоставляемые  по договору  найма, величина коэффициента соответствия размер платы для нанимателей рыночной стоимости жилья   составляет - 0,1.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жилых помещений государственного жилищного фонда, предоставляемые по договору найма в коммерческих целях, величина коэффициента соответствия платы для нанимателей рыночной стоимости жилья  составляет - 1.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Размер платы за пользование жилым помещением в домах государственного жилищного фонда (П) определяется по формуле: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= Н х S,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Н - плата за один квадратный метр  общей площади занимаемого  жилого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S - общая площадь занимаемого  жилого помещения.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qfnnmsnxwlii7oowz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dalil.kg/document/97241</w:t>
      </w:r>
    </w:hyperlink>
  </w:p>
  <w:p>
    <w:pPr>
      <w:spacing w:after="0" w:before="40"/>
      <w:jc w:val="center"/>
    </w:pPr>
    <w:hyperlink w:history="1" r:id="rIdbeawkp_u3sqb7vzblxp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07qkandt89_mpynore5" Type="http://schemas.openxmlformats.org/officeDocument/2006/relationships/hyperlink" Target="https://dalil.kg/document/203926" TargetMode="External"/><Relationship Id="rIdgvxmayf-gzawuywdxgufv" Type="http://schemas.openxmlformats.org/officeDocument/2006/relationships/hyperlink" Target="https://dalil.kg/document/97241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qfnnmsnxwlii7oowzwa" Type="http://schemas.openxmlformats.org/officeDocument/2006/relationships/hyperlink" Target="https://dalil.kg/document/97241" TargetMode="External"/><Relationship Id="rIdbeawkp_u3sqb7vzblxp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2026-09-24T03:36:30.469Z</dcterms:created>
  <dcterms:modified xsi:type="dcterms:W3CDTF">2026-09-24T03:36:30.469Z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