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xqw1mnzuacktftng6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сельских товаропроизводителей Кыргызской Республики  в своевременном и организованном проведении сельскохозяйственных полевых работ в 2015 году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wb8ifp4jctsekpqmur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21 сентября 2015 года № 653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производственных условий сельским товаропроизводителям в обеспечении  своевременного и организованного проведения сельскохозяйственных полевых работ в 2015 году, для обеспечения продовольственной безопасности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развитии сельского хозяйства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полномочным представителям Правительства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областях</w:t>
      </w:r>
      <w:r>
        <w:rPr>
          <w:rFonts w:ascii="Arial" w:cs="Arial" w:eastAsia="Arial" w:hAnsi="Arial"/>
          <w:sz w:val="24"/>
          <w:szCs w:val="24"/>
        </w:rPr>
        <w:t xml:space="preserve"> предложенную  Министерством сельского хозяйства и мелиорации Кыргызской Республики согласованную с ними структуру посевных площадей  сельскохозяйственных культур под урожай 2015 года  согласно </w:t>
      </w:r>
      <w:hyperlink w:history="1" r:id="rId4tiquv012qzd_hjkc7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представленную структуру посевных площадей сельскохозяйственных  культур под урожай 2015 года в 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провести разъяснительную работу с хозяйствующими субъектами по подготовке к реализации предложенной структуры посевных площадей сельскохозяйственных культур под урожай 2015 года по каждому айылному аймаку;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еженедельное представление в рабочий орган Республиканского 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таба по проведению сельскохозяйственных полевых работ – Министерство сельского хозяйства и мелиорации Кыргызской Республики оперативную информацию о ходе проведения посевных  и уборочных сельскохозяйственных работ по установленной форме.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 во взаимодействии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учету имеющейся в наличии посевной, уборочной, транспортной, почвообрабатывающей, зерно-семяочистительной сельскохозяйственной техники, весовых приборов. Оказать содействие </w:t>
      </w:r>
      <w:r>
        <w:rPr>
          <w:rFonts w:ascii="Arial" w:cs="Arial" w:eastAsia="Arial" w:hAnsi="Arial"/>
          <w:sz w:val="24"/>
          <w:szCs w:val="24"/>
        </w:rPr>
        <w:t xml:space="preserve">частным техническим и агротехническим</w:t>
      </w:r>
      <w:r>
        <w:rPr>
          <w:rFonts w:ascii="Arial" w:cs="Arial" w:eastAsia="Arial" w:hAnsi="Arial"/>
          <w:sz w:val="24"/>
          <w:szCs w:val="24"/>
        </w:rPr>
        <w:t xml:space="preserve"> сервисным службам в изыскании источника финансирования</w:t>
      </w:r>
      <w:r>
        <w:rPr>
          <w:rFonts w:ascii="Arial" w:cs="Arial" w:eastAsia="Arial" w:hAnsi="Arial"/>
          <w:sz w:val="24"/>
          <w:szCs w:val="24"/>
        </w:rPr>
        <w:t xml:space="preserve">для  укомплектования их необходимыми запасными частями, узлами и агрегатами с целью проведения своевременного и качественного ремонта и технического обслуживания  всей имеющейся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подготовить к приемке и переработке нового урожая сельскохозяйственных культур зерновые тока и приспособленные складские помещения. Принять меры к соблюдению на них мер противопожарной безопасности, а также обеспечить уборочную и транспортную сельскохозяйственную технику необходимым противопожарным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рабочие графики проведения посевных и уборочных работ сельскохозяйственных культур в разрезе айылных аймаков. Наметить маршрутные схемы передвижения зерноуборочных комбайнов в зависимости от сроков созревания посевов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статистическим комитетом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провести определение биологической 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открытыми  акционерными обществами «Северэлектро», «Востокэлектро», «Жалалаба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электро»  и «Ошэлектро» вопрос бесперебойной подач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электроэнергии для технических и агротехнических сервисных служб, зерновых токов и перерабатывающих предприятий, а также насосных станций и скважин для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семеноводческих и других хозяйствующих субъектах засыпку семян и посадочного материала  сельскохозяйственных культур в объемах, необходимых для обеспечения ярового сева в 2015 году и озимого сева под урожай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</w:t>
      </w:r>
      <w:r>
        <w:rPr>
          <w:rFonts w:ascii="Arial" w:cs="Arial" w:eastAsia="Arial" w:hAnsi="Arial"/>
          <w:sz w:val="24"/>
          <w:szCs w:val="24"/>
        </w:rPr>
        <w:t xml:space="preserve">ыв</w:t>
      </w:r>
      <w:r>
        <w:rPr>
          <w:rFonts w:ascii="Arial" w:cs="Arial" w:eastAsia="Arial" w:hAnsi="Arial"/>
          <w:sz w:val="24"/>
          <w:szCs w:val="24"/>
        </w:rPr>
        <w:t xml:space="preserve">ать практическую помощь в своевременной и качественной подготовке внутрихозяйственной оросительной сети, находящейся на балансе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ассоциаций водопользователей  и других хозяйствующих субъектов, к началу проведения  влагонакопительных, вегетационных и предпахотных поливов.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 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практиковать проведение в  областях и районах  республики   семинаров  и обучение  крестьян  и фермеров современным прогрессивным технологиям методов капельного  орошения  сельскохозяйственных  культур  и плодово-ягодных  насаждений, а также  возделывания  овощей  в теплицах, с привлечением донорской  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постоянный контроль  за своевременным  погашением    кредитной задолженности 14 семеноводческими  хозяйствами  республики, отобранными проектом Американского  агентства международного  развития  ЮСАИД, за  полученные в виде товарного кредита  оригинальные  семена, сельскохозяйственную  технику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  развития экономики при Министерстве  финансов  Кыргызской  Республики  организовать в   семеноводческих хозяйствах республики накопление для республиканского государственного семенного фонда, в счет погашения задолженности по государственным заемным средствам (кроме долгосрочных грантов Правительства Японии и Правительства Китайской Народной Республики, возврат которых должен производиться только денежными средствами), сертифицированных семян суперэлиты, элиты, первой и второй репродукций озимой и яровой пшеницы, озимого и ярового ячменя, а также хлопчатника, люцерны, эспарцета, кукурузы и картофеля для последующего отпуска семеноводческим хозяйствам и сельским товаропроизводителям республики на яровой  сев 2015 года  и на озимый сев под урожай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оказания государственной поддержки семеноводческим хозяйствам и сельским товаропроизводителям в обеспечении их  семенами для проведения сортообновления и сортосмены, а также  восполнения  недостачи  семян  по балансу своевременно,  на рабочих заседаниях  республиканской государственной и районных комиссий по распределению товарных кредитов, выделить им в порядке беспроцентного товарного кредита сертифицированные семена из накопленного в республиканском государственном семенном фонде объема, согласно Положению о порядке распределения и выдачи сельским товаропроизводителям государственных кредитов в виде товарно-материальных ресурсов, утвержденно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постановлением Правительства Кыргызской Республики от 14 апреля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  финансов Кыргызской Республики в двухмесячный срок внести  предложение  в Правительство Кыргызской Республики  о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использовани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возвратных  средств  ранее выданных  грантов Китайской Народной Республики  и Правительства  Японии  на приобретение уборочных  комбайнов</w:t>
      </w:r>
      <w:r>
        <w:rPr>
          <w:rFonts w:ascii="Arial" w:cs="Arial" w:eastAsia="Arial" w:hAnsi="Arial"/>
          <w:sz w:val="24"/>
          <w:szCs w:val="24"/>
        </w:rPr>
        <w:t xml:space="preserve"> и машин сельскохозяйственных культур</w:t>
      </w:r>
      <w:r>
        <w:rPr>
          <w:rFonts w:ascii="Arial" w:cs="Arial" w:eastAsia="Arial" w:hAnsi="Arial"/>
          <w:sz w:val="24"/>
          <w:szCs w:val="24"/>
        </w:rPr>
        <w:t xml:space="preserve">  для дальнейшей передачи  в  лизинг;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«Айыл Банк» и «РСК Банк» и другими коммерческими  банками согласовать и проработать вопрос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предоставлени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сельским товаропроизводителям республики в </w:t>
      </w:r>
      <w:r>
        <w:rPr>
          <w:rFonts w:ascii="Arial" w:cs="Arial" w:eastAsia="Arial" w:hAnsi="Arial"/>
          <w:sz w:val="24"/>
          <w:szCs w:val="24"/>
        </w:rPr>
        <w:t xml:space="preserve">достаточном</w:t>
      </w:r>
      <w:r>
        <w:rPr>
          <w:rFonts w:ascii="Arial" w:cs="Arial" w:eastAsia="Arial" w:hAnsi="Arial"/>
          <w:sz w:val="24"/>
          <w:szCs w:val="24"/>
        </w:rPr>
        <w:t xml:space="preserve"> объеме льготных кредитов для выполнения ими сельскохозяйственных  полевых  работ, исходя  от  общего объема  выделенных  на 2015 год  льготных кредитов на развитие отрасли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заключения с Ассоциацией нефтетрейдеров Меморандума  о своевременном обеспечени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сельских товаропроизводителей  горюче-смазочными материалами, путем накопления их на нефтебазах  и на автозаправочных станциях практикуя  льготный  отпуск  дизельного топлива  тем крестьянам и фермерам, которые приобретают его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больш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  объем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 началу проведения влагонакопительных, вегетационных и предпахотных поливов подготовку имеющейся в наличии межхозяйственной оросительной  сети, а также принять  меры   по максимальному накоплению  воды  в имеющихся  водохранилищах и в других водных источниках.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  Кыргызской 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первоочередное финансирование ремонтно-восстановительных  работ водохозяйственных объектов Департамента водного хозяйства и мелиорации Министерства сельского хозяйства и мелиорации Кыргызской Республики, предусмотрев выделение в первом и втором кварталах 2015 года 80 процентов  денежных средств от годового объема финансирования по статьям  затрат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дания и сооружения» и «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риобретение прочих  услуг».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  фонду 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своевременно оформить кредитные договоры и залоговые обязательства на получение семеноводческими  и другими хозяйствующими субъектами, в порядке беспроцентного товарного кредита, сертифицированных семян яровой пшеницы, ярового ячменя, хлопчатника, кукурузы и посадочных клубней картофеля, со сроком погашения до 1 декабря 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сельским товаропроизводителям  высокогорных районов Нарынской области, Алайского и Чон-Алайского районов Ошской  области, Токтогульского, Тогуз-Тороуского и Чаткальского районов Джалал-Абадской области, Суусамырского  айылного аймака Жайылского района Чуйской области установить срок  погашения до 1 декабря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получение сертифицированных семян озимой пшеницы, озимого ячменя, люцерны и эспарцета всеми хозяйствующими субъектами республики со сроком погашения  до 1 декабря 2016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  агентству  антимонопольного  регулирования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данных, представленных Министерством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и мелиорации  Кыргызской Республики, установить закупочные цены на сертифицированные  семена суперэлиты, элиты, первой и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репродукции сельскохозяйственных культур, накопленны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  семеноводческими хозяйствами республики в республиканском государственном семенном фонде, в счет погашения задолженности по государственным заемным средствам и отпускаемы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на яровой сев 2015 года  и на озимый сев под урожай 2016 года, на основании  решений  республиканской государственной и районных  комиссий  по распределению товарных кредитов: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2015 года - яровой  пшеницы,  ячменя, хлопчатника, посадочных клубней картофеля, кукурузы, люцерны и эспарцета;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2015 года - озимой  пшеницы и озимого ячменя.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Ассоциации нефтетрейдеров Кыргызской Республики  обеспечить  накопление на нефтебазах и автозаправочных станциях в областях и районах республики горюче-смазочных материалов для  использования  сельскими товаропроизводителями 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проведении весенней и осенней посевных кампаний, а также  уборки выращенного урожая  сельскохозяйственных   культур в объемах  согласно </w:t>
      </w:r>
      <w:hyperlink w:history="1" r:id="rIdrv636ved8v0xjxnuxq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«Национальная компания «Кыргыз темир жолу»: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заявок  открытого акционерного общества «Кайынды-Кант» выделить необходимое  количество вагонов для перевозки  корнеплодов  сахарной свеклы от приемных  пунктов до мест их переработки, а также обеспечить перевозку сахара-песка, предназначенного для расчетов со свекловодами;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заключенных договоров с открытым акционерным обществом "Кайынды-Кант" рекомендуется установить на период приемки и переработки свекловичного сырья экономически обоснованные нормативы простоев вагонов под погрузку и выгрузку без предъявления штрафных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установить на период с 1 октября по 31 декабря 2015 года временные льготные тарифы на внутриреспубликанские железнодорожные перевозки сахарной свеклы и сахара-песка со снижением действующих тарифов на 20%.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1gwqhaeqijina93xok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21 сентября 2015 года № 653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  настоящего постановления возложить на отдел агропромышленного  комплекса  и экологии Аппарата Правительства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посевных площадей сельскохозяйственных культур на 2015 год (тыс. га)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0"/>
        <w:gridCol w:w="1077"/>
        <w:gridCol w:w="994"/>
        <w:gridCol w:w="994"/>
        <w:gridCol w:w="994"/>
        <w:gridCol w:w="994"/>
        <w:gridCol w:w="994"/>
        <w:gridCol w:w="994"/>
        <w:gridCol w:w="994"/>
      </w:tblGrid>
      <w:tr>
        <w:tc>
          <w:tcPr>
            <w:tcW w:type="dxa" w:w="21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респуб-лике</w:t>
            </w:r>
          </w:p>
        </w:tc>
        <w:tc>
          <w:tcPr>
            <w:tcW w:type="dxa" w:w="695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-Абад-ская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-Куль-ская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Талас-ская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Чуй-ская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всего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251,5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в.т.ч. пшеница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9"/>
        <w:gridCol w:w="618"/>
        <w:gridCol w:w="618"/>
        <w:gridCol w:w="618"/>
        <w:gridCol w:w="618"/>
        <w:gridCol w:w="577"/>
        <w:gridCol w:w="577"/>
        <w:gridCol w:w="577"/>
        <w:gridCol w:w="577"/>
        <w:gridCol w:w="542"/>
        <w:gridCol w:w="542"/>
        <w:gridCol w:w="542"/>
        <w:gridCol w:w="542"/>
        <w:gridCol w:w="514"/>
        <w:gridCol w:w="514"/>
        <w:gridCol w:w="514"/>
        <w:gridCol w:w="514"/>
      </w:tblGrid>
      <w:tr>
        <w:tc>
          <w:tcPr>
            <w:tcW w:type="dxa" w:w="1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</w:t>
            </w:r>
          </w:p>
        </w:tc>
        <w:tc>
          <w:tcPr>
            <w:tcW w:type="dxa" w:w="2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Автобензин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Дизмасло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</w:t>
            </w:r>
          </w:p>
        </w:tc>
        <w:tc>
          <w:tcPr>
            <w:tcW w:type="dxa" w:w="5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Все-го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Все-го</w:t>
            </w:r>
          </w:p>
        </w:tc>
        <w:tc>
          <w:tcPr>
            <w:tcW w:type="dxa" w:w="15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  весенне-поле-вые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убо-роч-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убо-роч-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рабо-ты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41275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23109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3604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33458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jun5osfidsdatf1s1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dalil.kg/document/97266</w:t>
      </w:r>
    </w:hyperlink>
  </w:p>
  <w:p>
    <w:pPr>
      <w:spacing w:after="0" w:before="40"/>
      <w:jc w:val="center"/>
    </w:pPr>
    <w:hyperlink w:history="1" r:id="rIdb9yccvu_9pzewnotu2w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qw1mnzuacktftng691i" Type="http://schemas.openxmlformats.org/officeDocument/2006/relationships/hyperlink" Target="https://dalil.kg/document/99995" TargetMode="External"/><Relationship Id="rIdmowb8ifp4jctsekpqmurv" Type="http://schemas.openxmlformats.org/officeDocument/2006/relationships/hyperlink" Target="https://dalil.kg/document/98035" TargetMode="External"/><Relationship Id="rId4tiquv012qzd_hjkc7hi0" Type="http://schemas.openxmlformats.org/officeDocument/2006/relationships/hyperlink" Target="https://dalil.kg/document/97266#p1" TargetMode="External"/><Relationship Id="rIdrv636ved8v0xjxnuxq1fl" Type="http://schemas.openxmlformats.org/officeDocument/2006/relationships/hyperlink" Target="https://dalil.kg/document/97266#p2" TargetMode="External"/><Relationship Id="rId3y1gwqhaeqijina93xokg" Type="http://schemas.openxmlformats.org/officeDocument/2006/relationships/hyperlink" Target="https://dalil.kg/document/98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jun5osfidsdatf1s1wz" Type="http://schemas.openxmlformats.org/officeDocument/2006/relationships/hyperlink" Target="https://dalil.kg/document/97266" TargetMode="External"/><Relationship Id="rIdb9yccvu_9pzewnotu2w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2026-09-24T13:41:18.079Z</dcterms:created>
  <dcterms:modified xsi:type="dcterms:W3CDTF">2026-09-24T13:41:18.079Z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