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a-fsoftyvmpgxhl_mq6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2015 года № 86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o3qylgvcx0oqcovnbohn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xffladcfvewysnvr8cfrh">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инициированный депутатом Жогорку Кенеша Кыргызской Республики Бекешевым Д.Д.</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 марта 2015 года № 86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дополнений в некоторые законодательные акты Кыргызской Республики", инициированный депутатом Жогорку Кенеша Кыргызской Республики Бекешевым Д.Д., приходит к следующему заключению.</w:t>
      </w:r>
    </w:p>
    <w:p>
      <w:pPr>
        <w:spacing w:after="120"/>
        <w:jc w:val="both"/>
      </w:pPr>
      <w:r>
        <w:rPr>
          <w:rFonts w:ascii="Arial" w:cs="Arial" w:eastAsia="Arial" w:hAnsi="Arial"/>
          <w:sz w:val="24"/>
          <w:szCs w:val="24"/>
        </w:rPr>
        <w:t xml:space="preserve">Статьей 1 проекта Закона Кыргызской Республики предлагается дополнить </w:t>
      </w:r>
      <w:r>
        <w:rPr>
          <w:rFonts w:ascii="Arial" w:cs="Arial" w:eastAsia="Arial" w:hAnsi="Arial"/>
          <w:sz w:val="24"/>
          <w:szCs w:val="24"/>
        </w:rPr>
        <w:t xml:space="preserve">статью 167</w:t>
      </w:r>
      <w:r>
        <w:rPr>
          <w:rFonts w:ascii="Arial" w:cs="Arial" w:eastAsia="Arial" w:hAnsi="Arial"/>
          <w:sz w:val="24"/>
          <w:szCs w:val="24"/>
        </w:rPr>
        <w:t xml:space="preserve"> Налогового кодекса Кыргызской Республики нормой о том, что доход работников государственных и муниципальных образовательных организаций, полученный от пожертвований и грантов физических и юридических лиц, является доходом, не облагаемым подоходным налогом.</w:t>
      </w:r>
    </w:p>
    <w:p>
      <w:pPr>
        <w:spacing w:after="120"/>
        <w:jc w:val="both"/>
      </w:pPr>
      <w:r>
        <w:rPr>
          <w:rFonts w:ascii="Arial" w:cs="Arial" w:eastAsia="Arial" w:hAnsi="Arial"/>
          <w:sz w:val="24"/>
          <w:szCs w:val="24"/>
        </w:rPr>
        <w:t xml:space="preserve">Статьей 2 законопроекта предлагается дополнить </w:t>
      </w:r>
      <w:r>
        <w:rPr>
          <w:rFonts w:ascii="Arial" w:cs="Arial" w:eastAsia="Arial" w:hAnsi="Arial"/>
          <w:sz w:val="24"/>
          <w:szCs w:val="24"/>
        </w:rPr>
        <w:t xml:space="preserve">статью 12</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нормой о том, что страховые взносы в Социальный фонд Кыргызской Республики не начисляются на доходы работников государственных и муниципальных образовательных организаций, полученные от пожертвований и грантов физических и юридических лиц.</w:t>
      </w:r>
    </w:p>
    <w:p>
      <w:pPr>
        <w:spacing w:after="120"/>
        <w:jc w:val="both"/>
      </w:pPr>
      <w:r>
        <w:rPr>
          <w:rFonts w:ascii="Arial" w:cs="Arial" w:eastAsia="Arial" w:hAnsi="Arial"/>
          <w:sz w:val="24"/>
          <w:szCs w:val="24"/>
        </w:rPr>
        <w:t xml:space="preserve">При этом отмечаем, что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социальном страховании"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за работу по договорам подряда, поручения и авторские гонорары, выплаченные за выполненные работы. Начисление и удержание страховых взносов производятся у источника выплаты,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установлены ставки тарифов страховых взносов для плательщиков страховых взносов.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120"/>
        <w:jc w:val="both"/>
      </w:pPr>
      <w:r>
        <w:rPr>
          <w:rFonts w:ascii="Arial" w:cs="Arial" w:eastAsia="Arial" w:hAnsi="Arial"/>
          <w:sz w:val="24"/>
          <w:szCs w:val="24"/>
        </w:rPr>
        <w:t xml:space="preserve">Уплата страховых взносов работниками государственных и муниципальных образовательных организаций наравне с другими застрахованными лицами дает им одинаковые права в системе государственного социального страхования на назначение пенсий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Размер пенсии напрямую зависит от суммы и периода уплаты страховых взносов.</w:t>
      </w:r>
    </w:p>
    <w:p>
      <w:pPr>
        <w:spacing w:after="120"/>
        <w:jc w:val="both"/>
      </w:pPr>
      <w:r>
        <w:rPr>
          <w:rFonts w:ascii="Arial" w:cs="Arial" w:eastAsia="Arial" w:hAnsi="Arial"/>
          <w:sz w:val="24"/>
          <w:szCs w:val="24"/>
        </w:rPr>
        <w:t xml:space="preserve">Увеличение бюджетных расходов в связи со значительным повышением размера пенсий в течение пяти последних лет, наметившаяся тенденция увеличения количества пенсионеров резко повысили финансовые обязательства Социального фонда Кыргызской Республики в настоящее время и в долгосрочной перспективе.</w:t>
      </w:r>
    </w:p>
    <w:p>
      <w:pPr>
        <w:spacing w:after="120"/>
        <w:jc w:val="both"/>
      </w:pPr>
      <w:r>
        <w:rPr>
          <w:rFonts w:ascii="Arial" w:cs="Arial" w:eastAsia="Arial" w:hAnsi="Arial"/>
          <w:sz w:val="24"/>
          <w:szCs w:val="24"/>
        </w:rPr>
        <w:t xml:space="preserve">Кроме того, в соответствии с </w:t>
      </w:r>
      <w:r>
        <w:rPr>
          <w:rFonts w:ascii="Arial" w:cs="Arial" w:eastAsia="Arial" w:hAnsi="Arial"/>
          <w:sz w:val="24"/>
          <w:szCs w:val="24"/>
        </w:rPr>
        <w:t xml:space="preserve">Национальной стратегией</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государство продолжит политику ежегодного повышения пенсий, чтобы обеспечить достойный уровень жизни всех пенсионеров.</w:t>
      </w:r>
    </w:p>
    <w:p>
      <w:pPr>
        <w:spacing w:after="120"/>
        <w:jc w:val="both"/>
      </w:pPr>
      <w:r>
        <w:rPr>
          <w:rFonts w:ascii="Arial" w:cs="Arial" w:eastAsia="Arial" w:hAnsi="Arial"/>
          <w:sz w:val="24"/>
          <w:szCs w:val="24"/>
        </w:rPr>
        <w:t xml:space="preserve">При этом, финансовая структура пенсионной системы должна быть надежной и сбалансированной, основу ее должны составлять страховые взносы на обязательное пенсионное страхование.</w:t>
      </w:r>
    </w:p>
    <w:p>
      <w:pPr>
        <w:spacing w:after="120"/>
        <w:jc w:val="both"/>
      </w:pPr>
      <w:r>
        <w:rPr>
          <w:rFonts w:ascii="Arial" w:cs="Arial" w:eastAsia="Arial" w:hAnsi="Arial"/>
          <w:sz w:val="24"/>
          <w:szCs w:val="24"/>
        </w:rPr>
        <w:t xml:space="preserve">Согласно справке-обоснованию к проекту Закона, годовой бюджет неформальных платежей в школах составляет более 2,0 млрд. сомов, которые направляются на оказание помощи учителям в виде дополнительной надбавки к заработной плате.</w:t>
      </w:r>
    </w:p>
    <w:p>
      <w:pPr>
        <w:spacing w:after="120"/>
        <w:jc w:val="both"/>
      </w:pPr>
      <w:r>
        <w:rPr>
          <w:rFonts w:ascii="Arial" w:cs="Arial" w:eastAsia="Arial" w:hAnsi="Arial"/>
          <w:sz w:val="24"/>
          <w:szCs w:val="24"/>
        </w:rPr>
        <w:t xml:space="preserve">Следовательно, при условии освобождения от уплаты страховых взносов с доходов работников государственных и муниципальных образовательных организаций, полученных от пожертвований и грантов физических и юридических лиц, Социальный фонд Кыргызской Республики недополучит, по предварительным расчетам, 545,0 млн. сомов, которые могли бы быть направлены на повышение пенсий.</w:t>
      </w:r>
    </w:p>
    <w:p>
      <w:pPr>
        <w:spacing w:after="120"/>
        <w:jc w:val="both"/>
      </w:pPr>
      <w:r>
        <w:rPr>
          <w:rFonts w:ascii="Arial" w:cs="Arial" w:eastAsia="Arial" w:hAnsi="Arial"/>
          <w:sz w:val="24"/>
          <w:szCs w:val="24"/>
        </w:rPr>
        <w:t xml:space="preserve">Вместе с тем, законопроектом не предусмотрен источник финансирования для возмещения этих сумм. При этом, суммы на покрытие предлагаемых льгот не предусмотрены в республиканском бюджете на 2015 год и последующие годы.</w:t>
      </w:r>
    </w:p>
    <w:p>
      <w:pPr>
        <w:spacing w:after="120"/>
        <w:jc w:val="both"/>
      </w:pPr>
      <w:r>
        <w:rPr>
          <w:rFonts w:ascii="Arial" w:cs="Arial" w:eastAsia="Arial" w:hAnsi="Arial"/>
          <w:sz w:val="24"/>
          <w:szCs w:val="24"/>
        </w:rPr>
        <w:t xml:space="preserve">Следует отметить, что в соответствии со </w:t>
      </w:r>
      <w:r>
        <w:rPr>
          <w:rFonts w:ascii="Arial" w:cs="Arial" w:eastAsia="Arial" w:hAnsi="Arial"/>
          <w:sz w:val="24"/>
          <w:szCs w:val="24"/>
        </w:rPr>
        <w:t xml:space="preserve">статьей 53</w:t>
      </w:r>
      <w:r>
        <w:rPr>
          <w:rFonts w:ascii="Arial" w:cs="Arial" w:eastAsia="Arial" w:hAnsi="Arial"/>
          <w:sz w:val="24"/>
          <w:szCs w:val="24"/>
        </w:rPr>
        <w:t xml:space="preserve"> Конституции Кыргызской Республики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w:t>
      </w:r>
    </w:p>
    <w:p>
      <w:pPr>
        <w:spacing w:after="120"/>
        <w:jc w:val="both"/>
      </w:pPr>
      <w:r>
        <w:rPr>
          <w:rFonts w:ascii="Arial" w:cs="Arial" w:eastAsia="Arial" w:hAnsi="Arial"/>
          <w:sz w:val="24"/>
          <w:szCs w:val="24"/>
        </w:rPr>
        <w:t xml:space="preserve">В условиях солидарно-распределительной пенсионной системы предоставление льгот одной категории лиц повлечет ущемление прав остальных застрахованных лиц. Кроме того, размер будущей пенсии работников зависит от произведенных выплат страховых взносов со всех доходов (кроме перечисленных в </w:t>
      </w:r>
      <w:r>
        <w:rPr>
          <w:rFonts w:ascii="Arial" w:cs="Arial" w:eastAsia="Arial" w:hAnsi="Arial"/>
          <w:sz w:val="24"/>
          <w:szCs w:val="24"/>
        </w:rPr>
        <w:t xml:space="preserve">статье 12</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в том числе и от доходов, полученных от пожертвований и грантов физических и юридических лиц.</w:t>
      </w:r>
    </w:p>
    <w:p>
      <w:pPr>
        <w:spacing w:after="120"/>
        <w:jc w:val="both"/>
      </w:pPr>
      <w:r>
        <w:rPr>
          <w:rFonts w:ascii="Arial" w:cs="Arial" w:eastAsia="Arial" w:hAnsi="Arial"/>
          <w:sz w:val="24"/>
          <w:szCs w:val="24"/>
        </w:rPr>
        <w:t xml:space="preserve">Также, необходимо отметить, что в условиях крайней ограниченности финансовых ресурсов государства налоговая политика должна быть направлена на укрепление стабильности и сбалансированности законодательной базы, в противном случае уменьшение доходной части бюджета без определения альтернативных источников для восполнения выпадающих доходов может привести к отрицательным последствиям.</w:t>
      </w:r>
    </w:p>
    <w:p>
      <w:pPr>
        <w:spacing w:after="120"/>
        <w:jc w:val="both"/>
      </w:pPr>
      <w:r>
        <w:rPr>
          <w:rFonts w:ascii="Arial" w:cs="Arial" w:eastAsia="Arial" w:hAnsi="Arial"/>
          <w:sz w:val="24"/>
          <w:szCs w:val="24"/>
        </w:rPr>
        <w:t xml:space="preserve">В свою очередь отмечаем, что одним из основных принципов государственного социального страхования является всеобщий и обязательный характер социальной защиты застрахованных лиц, а также дифференциация уровня социальной защиты застрахованных лиц с учетом их трудового вклада, причин страхового случая и других факторов.</w:t>
      </w:r>
    </w:p>
    <w:p>
      <w:pPr>
        <w:spacing w:after="120"/>
        <w:jc w:val="both"/>
      </w:pPr>
      <w:r>
        <w:rPr>
          <w:rFonts w:ascii="Arial" w:cs="Arial" w:eastAsia="Arial" w:hAnsi="Arial"/>
          <w:sz w:val="24"/>
          <w:szCs w:val="24"/>
        </w:rPr>
        <w:t xml:space="preserve">Освобождение части доходов отдельных категорий работников от начисления страховых взносов противоречит вышеуказанным основным принципам обязательного государственного социального страхования.</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рассматриваемого законопроекта.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b8ntmbae2ftejgz7w5r">
      <w:r>
        <w:rPr>
          <w:rFonts w:ascii="Arial" w:cs="Arial" w:eastAsia="Arial" w:hAnsi="Arial"/>
          <w:color w:val="132D3F"/>
          <w:sz w:val="16"/>
          <w:szCs w:val="16"/>
          <w:u w:val="single"/>
        </w:rPr>
        <w:t xml:space="preserve">dalil.kg/document/97345</w:t>
      </w:r>
    </w:hyperlink>
  </w:p>
  <w:p>
    <w:pPr>
      <w:spacing w:after="0" w:before="40"/>
      <w:jc w:val="center"/>
    </w:pPr>
    <w:hyperlink w:history="1" r:id="rId8n_xkiyqyu6lczd-mm5i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fsoftyvmpgxhl_mq6d" Type="http://schemas.openxmlformats.org/officeDocument/2006/relationships/hyperlink" Target="https://dalil.kg/document/159126" TargetMode="External"/><Relationship Id="rIdo3qylgvcx0oqcovnbohnu" Type="http://schemas.openxmlformats.org/officeDocument/2006/relationships/hyperlink" Target="https://dalil.kg/document/203685" TargetMode="External"/><Relationship Id="rIdxffladcfvewysnvr8cfrh" Type="http://schemas.openxmlformats.org/officeDocument/2006/relationships/hyperlink" Target="https://dalil.kg/document/97345#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b8ntmbae2ftejgz7w5r" Type="http://schemas.openxmlformats.org/officeDocument/2006/relationships/hyperlink" Target="https://dalil.kg/document/97345" TargetMode="External"/><Relationship Id="rId8n_xkiyqyu6lczd-mm5i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2026-09-25T19:14:21.558Z</dcterms:created>
  <dcterms:modified xsi:type="dcterms:W3CDTF">2026-09-25T19:14:21.558Z</dcterms:modified>
</cp:coreProperties>
</file>

<file path=docProps/custom.xml><?xml version="1.0" encoding="utf-8"?>
<Properties xmlns="http://schemas.openxmlformats.org/officeDocument/2006/custom-properties" xmlns:vt="http://schemas.openxmlformats.org/officeDocument/2006/docPropsVTypes"/>
</file>