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sz w:val="24"/>
          <w:szCs w:val="24"/>
        </w:rPr>
        <w:t xml:space="preserve">УТРАТИЛО СИЛУ
 в соответствии с </w:t>
      </w:r>
      <w:hyperlink w:history="1" r:id="rId3yebdlrno6d28m5qfude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июня 2018 года № 291</w:t>
      </w:r>
    </w:p>
    <w:p>
      <w:pPr>
        <w:spacing w:after="60"/>
        <w:jc w:val="center"/>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
      </w:r>
    </w:p>
    <w:p>
      <w:pPr>
        <w:spacing w:after="120"/>
        <w:ind w:firstLine="567"/>
        <w:jc w:val="right"/>
      </w:pPr>
      <w:r>
        <w:rPr>
          <w:rFonts w:ascii="Arial" w:cs="Arial" w:eastAsia="Arial" w:hAnsi="Arial"/>
          <w:sz w:val="24"/>
          <w:szCs w:val="24"/>
        </w:rPr>
        <w:t xml:space="preserve">Приложение 1</w:t>
      </w:r>
    </w:p>
    <w:p>
      <w:pPr>
        <w:spacing w:after="120"/>
        <w:ind w:firstLine="567"/>
        <w:jc w:val="right"/>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Утверждена </w:t>
      </w:r>
      <w:hyperlink w:history="1" r:id="rIda0f-ei7f10f3lc4af2uyq">
        <w:r>
          <w:rPr>
            <w:rFonts w:ascii="Arial" w:cs="Arial" w:eastAsia="Arial" w:hAnsi="Arial"/>
            <w:color w:val="1D4ED8"/>
            <w:sz w:val="24"/>
            <w:szCs w:val="24"/>
            <w:u w:val="single"/>
          </w:rPr>
          <w:t xml:space="preserve">постановлением</w:t>
        </w:r>
      </w:hyperlink>
    </w:p>
    <w:p>
      <w:pPr>
        <w:spacing w:after="400" w:before="400"/>
        <w:jc w:val="center"/>
      </w:pPr>
      <w:r>
        <w:rPr>
          <w:rFonts w:ascii="Arial" w:cs="Arial" w:eastAsia="Arial" w:hAnsi="Arial"/>
          <w:b/>
          <w:bCs/>
          <w:sz w:val="32"/>
          <w:szCs w:val="32"/>
        </w:rPr>
        <w:t xml:space="preserve">ПРОГРАММА
 развития социальной защиты населения Кыргызской Республики на 2015-2017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zlcfzono7g5crhaxiw3ep">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Введение</w:t>
      </w:r>
    </w:p>
    <w:p>
      <w:pPr>
        <w:spacing w:after="60"/>
        <w:ind w:firstLine="567"/>
        <w:jc w:val="both"/>
      </w:pPr>
      <w:r>
        <w:rPr>
          <w:rFonts w:ascii="Arial" w:cs="Arial" w:eastAsia="Arial" w:hAnsi="Arial"/>
          <w:sz w:val="24"/>
          <w:szCs w:val="24"/>
        </w:rPr>
        <w:t xml:space="preserve">В 2012-2014 годы в Кыргызской Республике проводилась последовательная государственная политика, направленная на повышение уровня жизни населения и улучшение положения социально незащищенных категорий граждан. Основные приоритетные направления деятельности были определены в </w:t>
      </w:r>
      <w:hyperlink w:history="1" r:id="rIda08xiinbpa1whxs6iaaog">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развития социальной защиты населения Кыргызской Республики на 2012-2014 годы, утвержденной </w:t>
      </w:r>
      <w:hyperlink w:history="1" r:id="rIdknpkp84oeoq5hkv9c1o2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13 декабря 2011 года № 755 (далее - Стратегия на 2012-2014 годы).</w:t>
      </w:r>
    </w:p>
    <w:p>
      <w:pPr>
        <w:spacing w:after="60"/>
        <w:ind w:firstLine="567"/>
        <w:jc w:val="both"/>
      </w:pPr>
      <w:r>
        <w:rPr>
          <w:rFonts w:ascii="Arial" w:cs="Arial" w:eastAsia="Arial" w:hAnsi="Arial"/>
          <w:sz w:val="24"/>
          <w:szCs w:val="24"/>
        </w:rPr>
        <w:t xml:space="preserve">В результате реализации масштабных задач, предусмотренных в </w:t>
      </w:r>
      <w:hyperlink w:history="1" r:id="rIdwlydrcgknylsf5v2qlvx4">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финансирование ряда направлений социальной защиты улучшилось, система управления отраслью стала более эффективной, действия министерств, ведомств и органов местного самоуправления, участвующих в системе социальной защиты, стали скоординированными. Удалось обеспечить устойчивость системы социальной защиты и преемственность социальной политики, несмотря на экономическую нестабильность и частые изменения в системе государственного управления в эти годы. Тем не менее, остались незавершенными задачи стандартизации и расчета стоимости социальных услуг, интеграции лиц с ограниченными возможностями здоровья в социум и другие.</w:t>
      </w:r>
    </w:p>
    <w:p>
      <w:pPr>
        <w:spacing w:after="60"/>
        <w:ind w:firstLine="567"/>
        <w:jc w:val="both"/>
      </w:pPr>
      <w:r>
        <w:rPr>
          <w:rFonts w:ascii="Arial" w:cs="Arial" w:eastAsia="Arial" w:hAnsi="Arial"/>
          <w:sz w:val="24"/>
          <w:szCs w:val="24"/>
        </w:rPr>
        <w:t xml:space="preserve">Вышеперечисленные обстоятельства обуславливают актуальность разработки и реализации Программы развития системы социальной защиты населения Кыргызской Республики на 2015-2017 годы (далее - Программа на 2015-2017 годы). Этот документ также необходим для продолжения начатых реформ, закрепления достигнутых успехов, обеспечения устойчивости системы социальной защиты и преемственности в проведении курса социальной политики.</w:t>
      </w:r>
    </w:p>
    <w:p>
      <w:pPr>
        <w:spacing w:after="60"/>
        <w:ind w:firstLine="567"/>
        <w:jc w:val="both"/>
      </w:pPr>
      <w:r>
        <w:rPr>
          <w:rFonts w:ascii="Arial" w:cs="Arial" w:eastAsia="Arial" w:hAnsi="Arial"/>
          <w:sz w:val="24"/>
          <w:szCs w:val="24"/>
        </w:rPr>
        <w:t xml:space="preserve">Программа на 2015-2017 годы разработана в соответствии с </w:t>
      </w:r>
      <w:hyperlink w:history="1" r:id="rId7syceedvglz_0wveugbqs">
        <w:r>
          <w:rPr>
            <w:rFonts w:ascii="Arial" w:cs="Arial" w:eastAsia="Arial" w:hAnsi="Arial"/>
            <w:color w:val="1D4ED8"/>
            <w:sz w:val="24"/>
            <w:szCs w:val="24"/>
            <w:u w:val="single"/>
          </w:rPr>
          <w:t xml:space="preserve">Национальной стратегией</w:t>
        </w:r>
      </w:hyperlink>
      <w:r>
        <w:rPr>
          <w:rFonts w:ascii="Arial" w:cs="Arial" w:eastAsia="Arial" w:hAnsi="Arial"/>
          <w:sz w:val="24"/>
          <w:szCs w:val="24"/>
        </w:rPr>
        <w:t xml:space="preserve"> устойчивого развития Кыргызской Республики на период 2013-2017 годы, утвержденной </w:t>
      </w:r>
      <w:hyperlink w:history="1" r:id="rId_hdkfmf8ny0g4zjvexckr">
        <w:r>
          <w:rPr>
            <w:rFonts w:ascii="Arial" w:cs="Arial" w:eastAsia="Arial" w:hAnsi="Arial"/>
            <w:color w:val="1D4ED8"/>
            <w:sz w:val="24"/>
            <w:szCs w:val="24"/>
            <w:u w:val="single"/>
          </w:rPr>
          <w:t xml:space="preserve">Указом</w:t>
        </w:r>
      </w:hyperlink>
      <w:r>
        <w:rPr>
          <w:rFonts w:ascii="Arial" w:cs="Arial" w:eastAsia="Arial" w:hAnsi="Arial"/>
          <w:sz w:val="24"/>
          <w:szCs w:val="24"/>
        </w:rPr>
        <w:t xml:space="preserve"> Президента Кыргызской Республики от 21 января 2013 года № 11, </w:t>
      </w:r>
      <w:hyperlink w:history="1" r:id="rId1ldzx80irefabhetrjsjt">
        <w:r>
          <w:rPr>
            <w:rFonts w:ascii="Arial" w:cs="Arial" w:eastAsia="Arial" w:hAnsi="Arial"/>
            <w:color w:val="1D4ED8"/>
            <w:sz w:val="24"/>
            <w:szCs w:val="24"/>
            <w:u w:val="single"/>
          </w:rPr>
          <w:t xml:space="preserve">Программой</w:t>
        </w:r>
      </w:hyperlink>
      <w:r>
        <w:rPr>
          <w:rFonts w:ascii="Arial" w:cs="Arial" w:eastAsia="Arial" w:hAnsi="Arial"/>
          <w:sz w:val="24"/>
          <w:szCs w:val="24"/>
        </w:rPr>
        <w:t xml:space="preserve"> Правительства Кыргызской Республики по переходу Кыргызской Республики к устойчивому развитию на 2013-2017 годы, утвержденной </w:t>
      </w:r>
      <w:hyperlink w:history="1" r:id="rIdjqikitvlexjaxwyrroxpp">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28 февраля 2014 года № 110.</w:t>
      </w:r>
    </w:p>
    <w:p>
      <w:pPr>
        <w:spacing w:after="60"/>
        <w:ind w:firstLine="567"/>
        <w:jc w:val="both"/>
      </w:pPr>
      <w:r>
        <w:rPr>
          <w:rFonts w:ascii="Arial" w:cs="Arial" w:eastAsia="Arial" w:hAnsi="Arial"/>
          <w:sz w:val="24"/>
          <w:szCs w:val="24"/>
        </w:rPr>
        <w:t xml:space="preserve">В Программе на 2015-2017 годы учтены результаты реализации </w:t>
      </w:r>
      <w:hyperlink w:history="1" r:id="rIdchp39hxkymfy92rhivduo">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и извлечены необходимые уроки. Программа на 2015-2017 годы определяет цели развития системы социальной защиты населения на предстоящие три года, содержит пути их достижения и направлена на качественное улучшение состояния социальной защиты населения в Кыргызской Республике.</w:t>
      </w:r>
    </w:p>
    <w:p>
      <w:pPr>
        <w:spacing w:after="60"/>
        <w:ind w:firstLine="567"/>
        <w:jc w:val="both"/>
      </w:pPr>
      <w:r>
        <w:rPr>
          <w:rFonts w:ascii="Arial" w:cs="Arial" w:eastAsia="Arial" w:hAnsi="Arial"/>
          <w:sz w:val="24"/>
          <w:szCs w:val="24"/>
        </w:rPr>
        <w:t xml:space="preserve">2. Несмотря на длительную историю понятия "социальная защита" и различные варианты его применения в международной практике, не имеется общепризнанной стандартной модели социальной защиты. При разработке и реализации модели социальной защиты каждая страна учитывает особенности развития своего общества и степень обеспеченности ресурсами выбранного курса. При этом необходимо достижение согласия в обществе по отношению к стратегическому направлению и распределению финансовых ресурсов. Одна из таких идей, поддержанная большинством участников процесса подготовки Программы на 2015-2017 годы, заключается в том, что в рамках данной Программы необходимо дальнейшее совершенствование стандартизации социальной защиты, с учетом международного опыта и норм.</w:t>
      </w:r>
    </w:p>
    <w:p>
      <w:pPr>
        <w:spacing w:after="200" w:before="200"/>
        <w:jc w:val="center"/>
      </w:pPr>
      <w:r>
        <w:rPr>
          <w:rFonts w:ascii="Arial" w:cs="Arial" w:eastAsia="Arial" w:hAnsi="Arial"/>
          <w:b/>
          <w:bCs/>
          <w:sz w:val="24"/>
          <w:szCs w:val="24"/>
        </w:rPr>
        <w:t xml:space="preserve">2. Стратегическое позиционирование</w:t>
      </w:r>
    </w:p>
    <w:p>
      <w:pPr>
        <w:spacing w:after="60"/>
        <w:ind w:firstLine="567"/>
        <w:jc w:val="both"/>
      </w:pPr>
      <w:r>
        <w:rPr>
          <w:rFonts w:ascii="Arial" w:cs="Arial" w:eastAsia="Arial" w:hAnsi="Arial"/>
          <w:sz w:val="24"/>
          <w:szCs w:val="24"/>
        </w:rPr>
        <w:t xml:space="preserve">3. В соответствии с </w:t>
      </w:r>
      <w:hyperlink w:history="1" r:id="rIduup7sogyvbvl7bneseyv-">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Кыргызская Республика признает одним из высших ценностей право человека на социальную защиту и проводит политику, направленную на утверждение в обществе социальной справедливости. Правительство Кыргызской Республики обеспечивает преемственность ценностей и принципов социальной справедливости, заложенных в </w:t>
      </w:r>
      <w:hyperlink w:history="1" r:id="rIdmmc36rle5ojvggifqevov">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В связи с этим Программа на 2015-2017 годы также нацелена на оказание адресной социальной помощи наиболее уязвимым категориям граждан, стимулирование экономической активности трудоспособного населения и оказание содействия в выходе из трудной жизненной ситуации.</w:t>
      </w:r>
    </w:p>
    <w:p>
      <w:pPr>
        <w:spacing w:after="60"/>
        <w:ind w:firstLine="567"/>
        <w:jc w:val="both"/>
      </w:pPr>
      <w:r>
        <w:rPr>
          <w:rFonts w:ascii="Arial" w:cs="Arial" w:eastAsia="Arial" w:hAnsi="Arial"/>
          <w:sz w:val="24"/>
          <w:szCs w:val="24"/>
        </w:rPr>
        <w:t xml:space="preserve">Задачи обеспечения минимального уровня материального благополучия нуждающихся граждан, которые были определены в </w:t>
      </w:r>
      <w:hyperlink w:history="1" r:id="rIdbhqqzzxh-sucdskj5kjhr">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остаются приоритетами государства в Программе на 2015-2017 годы. При обеспечении социальной защиты населения государство будет придерживаться тех же принципов, что и в </w:t>
      </w:r>
      <w:hyperlink w:history="1" r:id="rIdhjb02bksduhhbt6ym7r21">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ценность семьи; адресность, адекватность и достаточность мер социальной защиты, отвечающих минимальным потребностям получателей; прозрачность; гарантированность и доступность; комплексность социальных услуг и возможность их выбора; обеспечение равных возможностей и доступа к социальным услугам и благам всех лиц независимо от социального, имущественного, возрастного, этнического, полового и других статусов; ответственность органов государственной власти и местного самоуправления.</w:t>
      </w:r>
    </w:p>
    <w:p>
      <w:pPr>
        <w:spacing w:after="60"/>
        <w:ind w:firstLine="567"/>
        <w:jc w:val="both"/>
      </w:pPr>
      <w:r>
        <w:rPr>
          <w:rFonts w:ascii="Arial" w:cs="Arial" w:eastAsia="Arial" w:hAnsi="Arial"/>
          <w:sz w:val="24"/>
          <w:szCs w:val="24"/>
        </w:rPr>
        <w:t xml:space="preserve">Кыргызстан признает международные соглашения в сфере социальной защиты и допускает, что субъектом социальной защиты являются не только государственные органы и органы местного самоуправления, но также бизнес, неправительственные организации и международные партнеры по развитию при координирующей роли государства.</w:t>
      </w:r>
    </w:p>
    <w:p>
      <w:pPr>
        <w:spacing w:after="60"/>
        <w:ind w:firstLine="567"/>
        <w:jc w:val="both"/>
      </w:pPr>
      <w:r>
        <w:rPr>
          <w:rFonts w:ascii="Arial" w:cs="Arial" w:eastAsia="Arial" w:hAnsi="Arial"/>
          <w:sz w:val="24"/>
          <w:szCs w:val="24"/>
        </w:rPr>
        <w:t xml:space="preserve">4. Важность Программы на 2015-2017 годы обусловлена также тем, что Организация Объединенных Наций (далее - ООН) планирует включить социальную защиту в повестку дня в области развития на период после 2015 года. Удовлетворение нужд людей, живущих в крайней бедности, борьба с неравенством, защита прав человека и их социальная защита становятся тематикой глобального развития в рамках системы ООН. Кыргызстан должен быть готов к ожидаемым глобальным изменениям в сфере социальной защиты.</w:t>
      </w:r>
    </w:p>
    <w:p>
      <w:pPr>
        <w:spacing w:after="60"/>
        <w:ind w:firstLine="567"/>
        <w:jc w:val="both"/>
      </w:pPr>
      <w:r>
        <w:rPr>
          <w:rFonts w:ascii="Arial" w:cs="Arial" w:eastAsia="Arial" w:hAnsi="Arial"/>
          <w:sz w:val="24"/>
          <w:szCs w:val="24"/>
        </w:rPr>
        <w:t xml:space="preserve">В перспективе, учитывая международный опыт, необходимо создать национальную модель социальной защиты населения, опираясь на исторические традиции и менталитет общества. Вышеизложенное обуславливает актуальность разработки проекта долгосрочной концепции развития социальной защиты населения в Кыргызской Республике до 2030 года. В настоящей Программе на 2015-2017 годы заложены основы указанной концепции.</w:t>
      </w:r>
    </w:p>
    <w:p>
      <w:pPr>
        <w:spacing w:after="200" w:before="200"/>
        <w:jc w:val="center"/>
      </w:pPr>
      <w:r>
        <w:rPr>
          <w:rFonts w:ascii="Arial" w:cs="Arial" w:eastAsia="Arial" w:hAnsi="Arial"/>
          <w:b/>
          <w:bCs/>
          <w:sz w:val="24"/>
          <w:szCs w:val="24"/>
        </w:rPr>
        <w:t xml:space="preserve">3. Общий анализ ситуации</w:t>
      </w:r>
    </w:p>
    <w:p>
      <w:pPr>
        <w:spacing w:after="60"/>
        <w:ind w:firstLine="567"/>
        <w:jc w:val="both"/>
      </w:pPr>
      <w:r>
        <w:rPr>
          <w:rFonts w:ascii="Arial" w:cs="Arial" w:eastAsia="Arial" w:hAnsi="Arial"/>
          <w:sz w:val="24"/>
          <w:szCs w:val="24"/>
        </w:rPr>
        <w:t xml:space="preserve">5. Социальная политика Кыргызской Республики была направлена на выполнение в полном объеме гарантированных социальных обязательств государства. Динамика реального роста ВВП в Кыргызстане за годы реализации </w:t>
      </w:r>
      <w:hyperlink w:history="1" r:id="rIdlrwq3nx1nuxzckcrprg1c">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была неустойчивой: в 2012 году произошел спад экономики на 0,9%, в 2013 году реальный рост экономики составил 10,5%. Номинальная величина ВВП составила в 2012 году 304,4 млрд. сомов, в 2013 году - 350 млрд. сомов. Несмотря на падение экономики в 2012 году, рост доходов республиканского бюджета составил 12,1% в 2012 году, в 2013 году - 17,1%.</w:t>
      </w:r>
    </w:p>
    <w:p>
      <w:pPr>
        <w:spacing w:after="60"/>
        <w:ind w:firstLine="567"/>
        <w:jc w:val="both"/>
      </w:pPr>
      <w:r>
        <w:rPr>
          <w:rFonts w:ascii="Arial" w:cs="Arial" w:eastAsia="Arial" w:hAnsi="Arial"/>
          <w:sz w:val="24"/>
          <w:szCs w:val="24"/>
        </w:rPr>
        <w:t xml:space="preserve">В период реализации </w:t>
      </w:r>
      <w:hyperlink w:history="1" r:id="rIdyrgyt9skjkeivf19ikq1e">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бюджет Министерства социального развития Кыргызской Республики увеличился на 25,3% и составил 7505,1 млн. сомов. Несмотря на такую динамику, размеры государственных социальных пособий не достигли официально признанного стандарта уровня жизни - прожиточного минимума.</w:t>
      </w:r>
    </w:p>
    <w:p>
      <w:pPr>
        <w:spacing w:after="60"/>
        <w:ind w:firstLine="567"/>
        <w:jc w:val="both"/>
      </w:pPr>
      <w:r>
        <w:rPr>
          <w:rFonts w:ascii="Arial" w:cs="Arial" w:eastAsia="Arial" w:hAnsi="Arial"/>
          <w:sz w:val="24"/>
          <w:szCs w:val="24"/>
        </w:rPr>
        <w:t xml:space="preserve">6. Уровень бедности в Кыргызстане все еще остается одной из острых социальных проблем. В 2013 году наметилась тенденция к снижению уровня бедности до 37%, что было обеспечено в основном за счет комплекса экономических и социальных мер по улучшению уровня жизни населения, предпринятых государством. За чертой бедности в 2013 году проживали 2 миллиона 135 тыс. человек, из которых 73,6% являлись жителями сельских населенных пунктов. Уровень бедности в городских населенных пунктах снизился на 6,9 процентных пункта, а в сельской местности увеличился на 1,8 процентных пункта. Сохраняются значительные региональные диспропорции уровня бедности. Позитивные сдвиги в улучшении благосостояния населения наблюдались в Таласской, Джалал-Абадской, Ошской областях и городе Бишкек. В остальных регионах республики отмечен рост бедности относительно предыдущего года. Стоимостная величина общей черты бедности в 2013 году составила 27768,5 сома в год на душу населения, крайней - 16249,1 сома.</w:t>
      </w:r>
    </w:p>
    <w:p>
      <w:pPr>
        <w:spacing w:after="60"/>
        <w:ind w:firstLine="567"/>
        <w:jc w:val="both"/>
      </w:pPr>
      <w:r>
        <w:rPr>
          <w:rFonts w:ascii="Arial" w:cs="Arial" w:eastAsia="Arial" w:hAnsi="Arial"/>
          <w:sz w:val="24"/>
          <w:szCs w:val="24"/>
        </w:rPr>
        <w:t xml:space="preserve">Уровень крайней бедности в 2013 году составлял 2,8% и снизился по сравнению с 2012 годом на 1,6%. За чертой крайней бедности в 2013 году проживали около 159 тысяч человек, из которых 79,8% являлись жителями сельских населенных пунктов. Уровень крайней бедности в городских населенных пунктах снизился на 2,6% и в сельской местности - на 1,1%(1).</w:t>
      </w:r>
    </w:p>
    <w:p>
      <w:pPr>
        <w:spacing w:after="60"/>
        <w:ind w:firstLine="567"/>
        <w:jc w:val="both"/>
      </w:pPr>
      <w:r>
        <w:rPr>
          <w:rFonts w:ascii="Arial" w:cs="Arial" w:eastAsia="Arial" w:hAnsi="Arial"/>
          <w:sz w:val="24"/>
          <w:szCs w:val="24"/>
        </w:rPr>
        <w:t xml:space="preserve">По результатам выборочного интегрированного обследования домашних хозяйств за 2008-2012 годы из общей численности детей в возрасте 0-17 лет 45,1 процента проживали в условиях бедности, из них 5,8 процента оказались в категории крайне бедных. Уровень детской бедности в сельской местности составил 45,7 процента, что на 1,9 процентных пункта выше, чем в городских поселениях.</w:t>
      </w:r>
    </w:p>
    <w:p>
      <w:pPr>
        <w:spacing w:after="60"/>
        <w:ind w:firstLine="567"/>
        <w:jc w:val="both"/>
      </w:pPr>
      <w:r>
        <w:rPr>
          <w:rFonts w:ascii="Arial" w:cs="Arial" w:eastAsia="Arial" w:hAnsi="Arial"/>
          <w:sz w:val="24"/>
          <w:szCs w:val="24"/>
        </w:rPr>
        <w:t xml:space="preserve">7. Доходы населения в 2013 году возросли на 3,7% и составили 3336,3 сома в месяц. Основная часть доходов населения формируется за счет доходов от трудовой деятельности (63,8%). В период с 2011 по 2013 годы минимальный размер заработной платы увеличился на 21,7% и составил 840 сомов. Среднемесячная номинальная заработная плата на одного работника в 2013 году составляла 11426 сомов и по сравнению с 2012 годом увеличилась на 4,9%, а ее реальный размер, исчисленный с учетом индекса потребительских цен, уменьшился на 1,6%. По данным исследований, в 2012 году 52% заработной платы в бизнес-структурах выплачивали с искажением отчетности налоговых и социальных отчислений, 39-42% экономики находились в тени(2).</w:t>
      </w:r>
    </w:p>
    <w:p>
      <w:pPr>
        <w:spacing w:after="60"/>
        <w:ind w:firstLine="567"/>
        <w:jc w:val="both"/>
      </w:pPr>
      <w:r>
        <w:rPr>
          <w:rFonts w:ascii="Arial" w:cs="Arial" w:eastAsia="Arial" w:hAnsi="Arial"/>
          <w:sz w:val="24"/>
          <w:szCs w:val="24"/>
        </w:rPr>
        <w:t xml:space="preserve">Второе место в составе доходов населения занимают социальные выплаты. В 2013 году средний размер пенсии по сравнению с 2012 годом увеличился на 5,9% и составил 4432 сома. Соотношение среднего размера пенсии и прожиточного минимума пенсионера составляло 10,5%, в 2012 году - 10,7%(3). Среднегодовая величина прожиточного минимума составляла 4599,2 сома и по сравнению с 2012 годом (4341,15 сома) возросла на 5,9%.</w:t>
      </w:r>
    </w:p>
    <w:p>
      <w:pPr>
        <w:spacing w:after="60"/>
        <w:ind w:firstLine="567"/>
        <w:jc w:val="both"/>
      </w:pPr>
      <w:r>
        <w:rPr>
          <w:rFonts w:ascii="Arial" w:cs="Arial" w:eastAsia="Arial" w:hAnsi="Arial"/>
          <w:sz w:val="24"/>
          <w:szCs w:val="24"/>
        </w:rPr>
        <w:t xml:space="preserve">Средний размер ежемесячного пособия малообеспеченным семьям, имеющим детей (далее - ЕПМС), увеличился на 59,8% (с 305,0 сома в 2011 году до 487,4 сома в 2013 году). Соотношение размера ЕПМС к прожиточному минимуму увеличилось на 4,3 процентных пункта. В рамках реализации </w:t>
      </w:r>
      <w:hyperlink w:history="1" r:id="rIdz49zi0gczy0_abxzv_wjz">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размер гарантированного минимального дохода (далее - ГМД), с помощью которого назначается ЕПМС, повысился 370 до 640 сомов (270 сома или 73%).</w:t>
      </w:r>
    </w:p>
    <w:p>
      <w:pPr>
        <w:spacing w:after="60"/>
        <w:ind w:firstLine="567"/>
        <w:jc w:val="both"/>
      </w:pPr>
      <w:r>
        <w:rPr>
          <w:rFonts w:ascii="Arial" w:cs="Arial" w:eastAsia="Arial" w:hAnsi="Arial"/>
          <w:sz w:val="24"/>
          <w:szCs w:val="24"/>
        </w:rPr>
        <w:t xml:space="preserve">Средний размер ежемесячного социального пособия (далее - ЕСП) составляет 2405,7 сома. Соотношение размера ЕСП к прожиточному минимуму составляет 52,3%.</w:t>
      </w:r>
    </w:p>
    <w:p>
      <w:pPr>
        <w:spacing w:after="60"/>
        <w:ind w:firstLine="567"/>
        <w:jc w:val="both"/>
      </w:pPr>
      <w:r>
        <w:rPr>
          <w:rFonts w:ascii="Arial" w:cs="Arial" w:eastAsia="Arial" w:hAnsi="Arial"/>
          <w:sz w:val="24"/>
          <w:szCs w:val="24"/>
        </w:rPr>
        <w:t xml:space="preserve">Анализ показывает, что размеры социальных выплат влияют на уровень крайней бедности. При этом эффект сокращения бедности имеет место больше благодаря повышению размеров пенсий.</w:t>
      </w:r>
    </w:p>
    <w:p>
      <w:pPr>
        <w:spacing w:after="200" w:before="200"/>
        <w:jc w:val="center"/>
      </w:pPr>
      <w:r>
        <w:rPr>
          <w:rFonts w:ascii="Arial" w:cs="Arial" w:eastAsia="Arial" w:hAnsi="Arial"/>
          <w:b/>
          <w:bCs/>
          <w:sz w:val="24"/>
          <w:szCs w:val="24"/>
        </w:rPr>
        <w:t xml:space="preserve">4. Основные цели и приоритетные направления деятельности</w:t>
      </w:r>
    </w:p>
    <w:p>
      <w:pPr>
        <w:spacing w:after="60"/>
        <w:ind w:firstLine="567"/>
        <w:jc w:val="both"/>
      </w:pPr>
      <w:r>
        <w:rPr>
          <w:rFonts w:ascii="Arial" w:cs="Arial" w:eastAsia="Arial" w:hAnsi="Arial"/>
          <w:sz w:val="24"/>
          <w:szCs w:val="24"/>
        </w:rPr>
        <w:t xml:space="preserve">8. В целях продолжения курса социальной политики, с учетом опыта реализации </w:t>
      </w:r>
      <w:hyperlink w:history="1" r:id="rIdguovwjpnfqcmblmlpzwhz">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основной целью Программы на 2015-2017 годы является обеспечение качественными услугами и создание равных возможностей для социально незащищенных категорий граждан.</w:t>
      </w:r>
    </w:p>
    <w:p>
      <w:pPr>
        <w:spacing w:after="60"/>
        <w:ind w:firstLine="567"/>
        <w:jc w:val="both"/>
      </w:pPr>
      <w:r>
        <w:rPr>
          <w:rFonts w:ascii="Arial" w:cs="Arial" w:eastAsia="Arial" w:hAnsi="Arial"/>
          <w:sz w:val="24"/>
          <w:szCs w:val="24"/>
        </w:rPr>
        <w:t xml:space="preserve">Основными приоритетными направлениями Программы на 2015-2017 годы являются:</w:t>
      </w:r>
    </w:p>
    <w:p>
      <w:pPr>
        <w:spacing w:after="60"/>
        <w:ind w:firstLine="567"/>
        <w:jc w:val="both"/>
      </w:pPr>
      <w:r>
        <w:rPr>
          <w:rFonts w:ascii="Arial" w:cs="Arial" w:eastAsia="Arial" w:hAnsi="Arial"/>
          <w:sz w:val="24"/>
          <w:szCs w:val="24"/>
        </w:rPr>
        <w:t xml:space="preserve">- социальная защита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социальная защита лиц с ограниченными возможностями здоровья;</w:t>
      </w:r>
    </w:p>
    <w:p>
      <w:pPr>
        <w:spacing w:after="60"/>
        <w:ind w:firstLine="567"/>
        <w:jc w:val="both"/>
      </w:pPr>
      <w:r>
        <w:rPr>
          <w:rFonts w:ascii="Arial" w:cs="Arial" w:eastAsia="Arial" w:hAnsi="Arial"/>
          <w:sz w:val="24"/>
          <w:szCs w:val="24"/>
        </w:rPr>
        <w:t xml:space="preserve">- социальная защита пожилых граждан.</w:t>
      </w:r>
    </w:p>
    <w:p>
      <w:pPr>
        <w:spacing w:after="60"/>
        <w:ind w:firstLine="567"/>
        <w:jc w:val="both"/>
      </w:pPr>
      <w:r>
        <w:rPr>
          <w:rFonts w:ascii="Arial" w:cs="Arial" w:eastAsia="Arial" w:hAnsi="Arial"/>
          <w:sz w:val="24"/>
          <w:szCs w:val="24"/>
        </w:rPr>
        <w:t xml:space="preserve">Предлагаемые меры Программы на 2015-2017 годы направлены на интегрированный, системный и адресный подход в решении проблем указанных социальных групп, с учетом их потребностей, в том числе связанных с продовольственной безопасностью и питанием, а также внедрение новых форм социальной работы и совершенствование стандартов социальной защиты населения. В рамках Программы на 2015-2017 годы предлагается изучение возможности применения международных норм в сфере социальной защиты, предусмотренных Конвенцией Международной организации труда № 102 "О минимальных стандартах социального обеспечения" и Рекомендацией Международной организации труда № 202 "О минимальных нормах социальной защиты".</w:t>
      </w:r>
    </w:p>
    <w:p>
      <w:pPr>
        <w:spacing w:after="60"/>
        <w:ind w:firstLine="567"/>
        <w:jc w:val="both"/>
      </w:pPr>
      <w:r>
        <w:rPr>
          <w:rFonts w:ascii="Arial" w:cs="Arial" w:eastAsia="Arial" w:hAnsi="Arial"/>
          <w:sz w:val="24"/>
          <w:szCs w:val="24"/>
        </w:rPr>
        <w:t xml:space="preserve">9. Основная цель Программы на 2015-2017 годы будет достигнута в результате реализации конкретных задач по приоритетным направлениям:</w:t>
      </w:r>
    </w:p>
    <w:p>
      <w:pPr>
        <w:spacing w:after="60"/>
        <w:ind w:firstLine="567"/>
        <w:jc w:val="both"/>
      </w:pPr>
      <w:r>
        <w:rPr>
          <w:rFonts w:ascii="Arial" w:cs="Arial" w:eastAsia="Arial" w:hAnsi="Arial"/>
          <w:sz w:val="24"/>
          <w:szCs w:val="24"/>
        </w:rPr>
        <w:t xml:space="preserve">- создание условий для развития и жизнедеятельности детей и семей, находящихся в трудной жизненной ситуации, и обеспечение предоставления им качественных социальных услуг;</w:t>
      </w:r>
    </w:p>
    <w:p>
      <w:pPr>
        <w:spacing w:after="60"/>
        <w:ind w:firstLine="567"/>
        <w:jc w:val="both"/>
      </w:pPr>
      <w:r>
        <w:rPr>
          <w:rFonts w:ascii="Arial" w:cs="Arial" w:eastAsia="Arial" w:hAnsi="Arial"/>
          <w:sz w:val="24"/>
          <w:szCs w:val="24"/>
        </w:rPr>
        <w:t xml:space="preserve">- усиление адресности ЕПМС и повышение их размеров;</w:t>
      </w:r>
    </w:p>
    <w:p>
      <w:pPr>
        <w:spacing w:after="60"/>
        <w:ind w:firstLine="567"/>
        <w:jc w:val="both"/>
      </w:pPr>
      <w:r>
        <w:rPr>
          <w:rFonts w:ascii="Arial" w:cs="Arial" w:eastAsia="Arial" w:hAnsi="Arial"/>
          <w:sz w:val="24"/>
          <w:szCs w:val="24"/>
        </w:rPr>
        <w:t xml:space="preserve">- обеспечение равноправного доступа к базовым услугам и создание доступной среды жизнедеятельности для лиц с ограниченными возможностями здоровья в целях эффективной интеграции их в общество;</w:t>
      </w:r>
    </w:p>
    <w:p>
      <w:pPr>
        <w:spacing w:after="60"/>
        <w:ind w:firstLine="567"/>
        <w:jc w:val="both"/>
      </w:pPr>
      <w:r>
        <w:rPr>
          <w:rFonts w:ascii="Arial" w:cs="Arial" w:eastAsia="Arial" w:hAnsi="Arial"/>
          <w:sz w:val="24"/>
          <w:szCs w:val="24"/>
        </w:rPr>
        <w:t xml:space="preserve">- обеспечение пожилых граждан достойным уровнем социальных выплат и доступом к качественным социальным услугам.</w:t>
      </w:r>
    </w:p>
    <w:p>
      <w:pPr>
        <w:spacing w:after="200" w:before="200"/>
        <w:jc w:val="center"/>
      </w:pPr>
      <w:r>
        <w:rPr>
          <w:rFonts w:ascii="Arial" w:cs="Arial" w:eastAsia="Arial" w:hAnsi="Arial"/>
          <w:b/>
          <w:bCs/>
          <w:sz w:val="24"/>
          <w:szCs w:val="24"/>
        </w:rPr>
        <w:t xml:space="preserve">5. Социальная защита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10. Правительством Кыргызской Республики последовательно принимаются меры, направленные на улучшение положения детей и семей, находящихся в трудной жизненной ситуации. За период 2012-2014 годы проделана значительная работа по совершенствованию норм законодательства в сфере защиты детей и семей, находящихся в трудной жизненной ситуации, утверждено более 20 нормативных правовых актов.</w:t>
      </w:r>
    </w:p>
    <w:p>
      <w:pPr>
        <w:spacing w:after="60"/>
        <w:ind w:firstLine="567"/>
        <w:jc w:val="both"/>
      </w:pPr>
      <w:r>
        <w:rPr>
          <w:rFonts w:ascii="Arial" w:cs="Arial" w:eastAsia="Arial" w:hAnsi="Arial"/>
          <w:sz w:val="24"/>
          <w:szCs w:val="24"/>
        </w:rPr>
        <w:t xml:space="preserve">В 2012 году принят </w:t>
      </w:r>
      <w:hyperlink w:history="1" r:id="rId4ahyh-ol86cepz2efn6o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в новой редакции, который устанавливает основные гарантии прав, свобод и законных интересов детей, предусмотренных </w:t>
      </w:r>
      <w:hyperlink w:history="1" r:id="rId1ttdcxunzfakippppl19e">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Конвенцией ООН о правах ребенка и международными договорами, вступившими в установленном порядке в законную силу(4).</w:t>
      </w:r>
    </w:p>
    <w:p>
      <w:pPr>
        <w:spacing w:after="60"/>
        <w:ind w:firstLine="567"/>
        <w:jc w:val="both"/>
      </w:pPr>
      <w:hyperlink w:history="1" r:id="rIdzfko9nykbb8ofav68oav9">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сентября 2013 года № 522 утверждено </w:t>
      </w:r>
      <w:hyperlink w:history="1" r:id="rId-ckwpaatcyrame-nskr7l">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опеке и попечительстве, </w:t>
      </w:r>
      <w:hyperlink w:history="1" r:id="rIdbk0ui1jz2zhiydqw5iz7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декабря 2013 года № 660 утвержден </w:t>
      </w:r>
      <w:hyperlink w:history="1" r:id="rIdmsuhzjfyvshmarqugcf3y">
        <w:r>
          <w:rPr>
            <w:rFonts w:ascii="Arial" w:cs="Arial" w:eastAsia="Arial" w:hAnsi="Arial"/>
            <w:color w:val="1D4ED8"/>
            <w:sz w:val="24"/>
            <w:szCs w:val="24"/>
            <w:u w:val="single"/>
          </w:rPr>
          <w:t xml:space="preserve">Порядо</w:t>
        </w:r>
      </w:hyperlink>
      <w:r>
        <w:rPr>
          <w:rFonts w:ascii="Arial" w:cs="Arial" w:eastAsia="Arial" w:hAnsi="Arial"/>
          <w:sz w:val="24"/>
          <w:szCs w:val="24"/>
        </w:rPr>
        <w:t xml:space="preserve">к</w:t>
      </w:r>
      <w:r>
        <w:rPr>
          <w:rFonts w:ascii="Arial" w:cs="Arial" w:eastAsia="Arial" w:hAnsi="Arial"/>
          <w:sz w:val="24"/>
          <w:szCs w:val="24"/>
        </w:rPr>
        <w:t xml:space="preserve"> аккредитации иностранных организаций по осуществлению на территории Кыргызской Республики межгосударственного усыновления (удочерения). Механизмы по защите имущественных прав детей, оставшихся без попечения родителей изложены в </w:t>
      </w:r>
      <w:hyperlink w:history="1" r:id="rId8n-7ttpfxi_puvlpewmr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опеке и попечительстве.</w:t>
      </w:r>
    </w:p>
    <w:p>
      <w:pPr>
        <w:spacing w:after="60"/>
        <w:ind w:firstLine="567"/>
        <w:jc w:val="both"/>
      </w:pPr>
      <w:r>
        <w:rPr>
          <w:rFonts w:ascii="Arial" w:cs="Arial" w:eastAsia="Arial" w:hAnsi="Arial"/>
          <w:sz w:val="24"/>
          <w:szCs w:val="24"/>
        </w:rPr>
        <w:t xml:space="preserve">11. Согласно данным Национального статистического комитета Кыргызской Республики, в Кыргызстане, по состоянию на 1 января 2013 года, проживает 5663,1 тыс. человек, из которых более 36,5% (или 2066,3 тыс.) составляют дети в возрасте до 18 лет. Из общей численности населения 70% граждан проживает в сельской местности.</w:t>
      </w:r>
    </w:p>
    <w:p>
      <w:pPr>
        <w:spacing w:after="60"/>
        <w:ind w:firstLine="567"/>
        <w:jc w:val="both"/>
      </w:pPr>
      <w:r>
        <w:rPr>
          <w:rFonts w:ascii="Arial" w:cs="Arial" w:eastAsia="Arial" w:hAnsi="Arial"/>
          <w:sz w:val="24"/>
          <w:szCs w:val="24"/>
        </w:rPr>
        <w:t xml:space="preserve">В Кыргызской Республике 436,0 тыс. детей, или более 20% всех детей страны, охвачены активными мерами социальной защиты:</w:t>
      </w:r>
    </w:p>
    <w:p>
      <w:pPr>
        <w:spacing w:after="60"/>
        <w:ind w:firstLine="567"/>
        <w:jc w:val="both"/>
      </w:pPr>
      <w:r>
        <w:rPr>
          <w:rFonts w:ascii="Arial" w:cs="Arial" w:eastAsia="Arial" w:hAnsi="Arial"/>
          <w:sz w:val="24"/>
          <w:szCs w:val="24"/>
        </w:rPr>
        <w:t xml:space="preserve">- дети, получающие пособия по малообеспеченности, - 77,2% (336,2 тыс. чел.);</w:t>
      </w:r>
    </w:p>
    <w:p>
      <w:pPr>
        <w:spacing w:after="60"/>
        <w:ind w:firstLine="567"/>
        <w:jc w:val="both"/>
      </w:pPr>
      <w:r>
        <w:rPr>
          <w:rFonts w:ascii="Arial" w:cs="Arial" w:eastAsia="Arial" w:hAnsi="Arial"/>
          <w:sz w:val="24"/>
          <w:szCs w:val="24"/>
        </w:rPr>
        <w:t xml:space="preserve">- дети, получающие социальные пособия, - 3,3% (14,5 тыс. чел.);</w:t>
      </w:r>
    </w:p>
    <w:p>
      <w:pPr>
        <w:spacing w:after="60"/>
        <w:ind w:firstLine="567"/>
        <w:jc w:val="both"/>
      </w:pPr>
      <w:r>
        <w:rPr>
          <w:rFonts w:ascii="Arial" w:cs="Arial" w:eastAsia="Arial" w:hAnsi="Arial"/>
          <w:sz w:val="24"/>
          <w:szCs w:val="24"/>
        </w:rPr>
        <w:t xml:space="preserve">- дети, получающие пенсии по случаю потери кормильца, - 17,2% (75,3 тыс. чел.);</w:t>
      </w:r>
    </w:p>
    <w:p>
      <w:pPr>
        <w:spacing w:after="60"/>
        <w:ind w:firstLine="567"/>
        <w:jc w:val="both"/>
      </w:pPr>
      <w:r>
        <w:rPr>
          <w:rFonts w:ascii="Arial" w:cs="Arial" w:eastAsia="Arial" w:hAnsi="Arial"/>
          <w:sz w:val="24"/>
          <w:szCs w:val="24"/>
        </w:rPr>
        <w:t xml:space="preserve">- дети, находящиеся в интернатных учреждениях, - 2,3% (около 10,0 тыс. чел.).</w:t>
      </w:r>
    </w:p>
    <w:p>
      <w:pPr>
        <w:spacing w:after="60"/>
        <w:ind w:firstLine="567"/>
        <w:jc w:val="both"/>
      </w:pPr>
      <w:r>
        <w:rPr>
          <w:rFonts w:ascii="Arial" w:cs="Arial" w:eastAsia="Arial" w:hAnsi="Arial"/>
          <w:sz w:val="24"/>
          <w:szCs w:val="24"/>
        </w:rPr>
        <w:t xml:space="preserve">12. За период 2011-2013 годов выявлены 17321 семья и дети, находящиеся в трудной жизненной ситуации. В целях оказания им помощи на Комиссии по делам детей рассмотрено 14654 Планов индивидуальной работы с семьей и 2267 индивидуальных планов по защите ребенка. В результате проведенной работы снято с контроля более 98% указанных планов.</w:t>
      </w:r>
    </w:p>
    <w:p>
      <w:pPr>
        <w:spacing w:after="60"/>
        <w:ind w:firstLine="567"/>
        <w:jc w:val="both"/>
      </w:pPr>
      <w:r>
        <w:rPr>
          <w:rFonts w:ascii="Arial" w:cs="Arial" w:eastAsia="Arial" w:hAnsi="Arial"/>
          <w:sz w:val="24"/>
          <w:szCs w:val="24"/>
        </w:rPr>
        <w:t xml:space="preserve">В период 2011-2013 годов выявлено 8307 детей, оставшихся без попечения родителей, из них более 80% детей устроены в семьи.</w:t>
      </w:r>
    </w:p>
    <w:p>
      <w:pPr>
        <w:spacing w:after="60"/>
        <w:ind w:firstLine="567"/>
        <w:jc w:val="both"/>
      </w:pPr>
      <w:r>
        <w:rPr>
          <w:rFonts w:ascii="Arial" w:cs="Arial" w:eastAsia="Arial" w:hAnsi="Arial"/>
          <w:sz w:val="24"/>
          <w:szCs w:val="24"/>
        </w:rPr>
        <w:t xml:space="preserve">Приказами Министерства социального развития Кыргызской Республики утверждены Временное положение о Порядке выявления и социальной поддержки ребенка (детей) и семей, находящихся в трудной жизненной ситуации и Руководство по пилотированию Порядка выявления и социальной поддержки. При поддержке Представительства ЮНИСЕФ в Кыргызской Республике и Международной организации труда проведено пилотирование механизма выявления и индивидуальной работы с семьями и детьми, находящимися в трудной жизненной ситуации.</w:t>
      </w:r>
    </w:p>
    <w:p>
      <w:pPr>
        <w:spacing w:after="60"/>
        <w:ind w:firstLine="567"/>
        <w:jc w:val="both"/>
      </w:pPr>
      <w:r>
        <w:rPr>
          <w:rFonts w:ascii="Arial" w:cs="Arial" w:eastAsia="Arial" w:hAnsi="Arial"/>
          <w:sz w:val="24"/>
          <w:szCs w:val="24"/>
        </w:rPr>
        <w:t xml:space="preserve">В настоящее время в республике функционируют 45 центров, оказывающих социальные услуги семьям и детям, находящимся в трудной жизненной ситуации, из них создано 26 центров в рамках реализации </w:t>
      </w:r>
      <w:hyperlink w:history="1" r:id="rIdopicrhpm0gkfrjzeuzial">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при поддержке международных организаций.</w:t>
      </w:r>
    </w:p>
    <w:p>
      <w:pPr>
        <w:spacing w:after="60"/>
        <w:ind w:firstLine="567"/>
        <w:jc w:val="both"/>
      </w:pPr>
      <w:r>
        <w:rPr>
          <w:rFonts w:ascii="Arial" w:cs="Arial" w:eastAsia="Arial" w:hAnsi="Arial"/>
          <w:sz w:val="24"/>
          <w:szCs w:val="24"/>
        </w:rPr>
        <w:t xml:space="preserve">С 2011 года постоянно пересматривалась система определения степени нуждаемости семей в пособии по малообеспеченности, в частности, введены новые критерии нуждаемости, обновлялись нормативы доходов от земельных наделов, при назначении пособий стали учитываться источники потенциальных доходов семей (сельскохозяйственные животные, транспортные средства). Внесены изменения в законодательство, предусматривающие усиление адресности назначения ЕПМС и упорядочение категорий получателей ЕСП. Начата работа по изучению эффективности действующей системы ЕПМС. Результаты исследований позволят определить причины ошибок исключения из ЕПМС, выявить препятствия, с которыми сталкиваются получатели пособий, и выхода из программ социальной помощи и т.д.</w:t>
      </w:r>
    </w:p>
    <w:p>
      <w:pPr>
        <w:spacing w:after="60"/>
        <w:ind w:firstLine="567"/>
        <w:jc w:val="both"/>
      </w:pPr>
      <w:r>
        <w:rPr>
          <w:rFonts w:ascii="Arial" w:cs="Arial" w:eastAsia="Arial" w:hAnsi="Arial"/>
          <w:sz w:val="24"/>
          <w:szCs w:val="24"/>
        </w:rPr>
        <w:t xml:space="preserve">Несмотря на меры, принятые Правительством Кыргызской Республики по увеличению размеров ЕПМС, финансирование и уровень доходов малообеспеченных семей пока остаются на низком уровне. Средний размер пособия составляет 12,5% от уровня прожиточного минимума на детей и 47,3% - от черты крайней бедности.</w:t>
      </w:r>
    </w:p>
    <w:p>
      <w:pPr>
        <w:spacing w:after="60"/>
        <w:ind w:firstLine="567"/>
        <w:jc w:val="both"/>
      </w:pPr>
      <w:r>
        <w:rPr>
          <w:rFonts w:ascii="Arial" w:cs="Arial" w:eastAsia="Arial" w:hAnsi="Arial"/>
          <w:sz w:val="24"/>
          <w:szCs w:val="24"/>
        </w:rPr>
        <w:t xml:space="preserve">В 2013 году численность получателей ЕСП по случаю потери кормильца увеличилась на 4,5% и составила 14540 детей.</w:t>
      </w:r>
    </w:p>
    <w:p>
      <w:pPr>
        <w:spacing w:after="60"/>
        <w:ind w:firstLine="567"/>
        <w:jc w:val="both"/>
      </w:pPr>
      <w:r>
        <w:rPr>
          <w:rFonts w:ascii="Arial" w:cs="Arial" w:eastAsia="Arial" w:hAnsi="Arial"/>
          <w:sz w:val="24"/>
          <w:szCs w:val="24"/>
        </w:rPr>
        <w:t xml:space="preserve">Детский труд остается серьезной проблемой не только в Кыргызской Республике, но и во всем мире, который препятствует развитию и образованию детей. По данным районных, городских управлений социального развития, в 2013 году выявлено 2552 работающих ребенка, их численность по сравнению с 2012 годом снизилась на 72,2%: в 2012 году их число составляло 9208 детей. Однако увеличилось число детей, вовлеченных в наихудшие формы детского труда: если в 2012 году их количество составляло 96, то в 2013 году - 849 детей, рост составил 123,1%, наибольшее количество отмечается по городу Бишкек - 691 ребенок, что связано с внутренней миграцией населения.</w:t>
      </w:r>
    </w:p>
    <w:p>
      <w:pPr>
        <w:spacing w:after="60"/>
        <w:ind w:firstLine="567"/>
        <w:jc w:val="both"/>
      </w:pPr>
      <w:r>
        <w:rPr>
          <w:rFonts w:ascii="Arial" w:cs="Arial" w:eastAsia="Arial" w:hAnsi="Arial"/>
          <w:sz w:val="24"/>
          <w:szCs w:val="24"/>
        </w:rPr>
        <w:t xml:space="preserve">13. В целях исключения факторов, способствующих определению детей в интернатные учреждения, проблем в процессе их социальной реинтеграции приняты меры, согласно которым решение о помещении детей в данные учреждения принимаются судебными органами на основании заключения территориального подразделения по защите семьи и детей. Несмотря на это, отмечается увеличение детей, находящихся в детских учреждениях интернатного типа. Так, если в 2012 году в детские учреждения интернатного типа было направлено 384 ребенка, то в 2013 году - 488 детей.</w:t>
      </w:r>
    </w:p>
    <w:p>
      <w:pPr>
        <w:spacing w:after="60"/>
        <w:ind w:firstLine="567"/>
        <w:jc w:val="both"/>
      </w:pPr>
      <w:r>
        <w:rPr>
          <w:rFonts w:ascii="Arial" w:cs="Arial" w:eastAsia="Arial" w:hAnsi="Arial"/>
          <w:sz w:val="24"/>
          <w:szCs w:val="24"/>
        </w:rPr>
        <w:t xml:space="preserve">В </w:t>
      </w:r>
      <w:hyperlink w:history="1" r:id="rIdids-y3xxj0pevazmi9djm">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заложены основы развития института приемной (фостерной) семьи, а также оптимизации управлений и финансирования детских учреждений интернатного типа. Проведены отбор и обучение приемных семей в городах Бишкек и Ош, Ошской, Чуйской областях. В 2014 году в приемные семьи передано 11 детей.</w:t>
      </w:r>
    </w:p>
    <w:p>
      <w:pPr>
        <w:spacing w:after="60"/>
        <w:ind w:firstLine="567"/>
        <w:jc w:val="both"/>
      </w:pPr>
      <w:r>
        <w:rPr>
          <w:rFonts w:ascii="Arial" w:cs="Arial" w:eastAsia="Arial" w:hAnsi="Arial"/>
          <w:sz w:val="24"/>
          <w:szCs w:val="24"/>
        </w:rPr>
        <w:t xml:space="preserve">Необходимо продолжить работу по дальнейшему развитию государственно-общественных форм устройства детей-сирот и детей, оставшихся без попечения родителей (приемная (фостерная) семья, детские дома семейного типа).</w:t>
      </w:r>
    </w:p>
    <w:p>
      <w:pPr>
        <w:spacing w:after="60"/>
        <w:ind w:firstLine="567"/>
        <w:jc w:val="both"/>
      </w:pPr>
      <w:r>
        <w:rPr>
          <w:rFonts w:ascii="Arial" w:cs="Arial" w:eastAsia="Arial" w:hAnsi="Arial"/>
          <w:sz w:val="24"/>
          <w:szCs w:val="24"/>
        </w:rPr>
        <w:t xml:space="preserve">14. Проведена значительная работа по совершенствованию механизмов, регламентирующих вопросы международного усыновления и гарантирующих ребенку право на семейное окружение, а также возвращению детей, оставшихся без попечения родителей за пределами Кыргызской Республики.</w:t>
      </w:r>
    </w:p>
    <w:p>
      <w:pPr>
        <w:spacing w:after="60"/>
        <w:ind w:firstLine="567"/>
        <w:jc w:val="both"/>
      </w:pPr>
      <w:r>
        <w:rPr>
          <w:rFonts w:ascii="Arial" w:cs="Arial" w:eastAsia="Arial" w:hAnsi="Arial"/>
          <w:sz w:val="24"/>
          <w:szCs w:val="24"/>
        </w:rPr>
        <w:t xml:space="preserve">Начиная с 2011 года из Российской Федерации возвращено 40 детей, оставшихся без попечения родителей. По возвращении дети размещены в государственные детские учреждения, где осуществляется поиск биологических родственников детей с целью воссоединения с семьей.</w:t>
      </w:r>
    </w:p>
    <w:p>
      <w:pPr>
        <w:spacing w:after="60"/>
        <w:ind w:firstLine="567"/>
        <w:jc w:val="both"/>
      </w:pPr>
      <w:r>
        <w:rPr>
          <w:rFonts w:ascii="Arial" w:cs="Arial" w:eastAsia="Arial" w:hAnsi="Arial"/>
          <w:sz w:val="24"/>
          <w:szCs w:val="24"/>
        </w:rPr>
        <w:t xml:space="preserve">Актуальным остается вопрос совершенствования механизма по выявлению и сопровождению детей и семей, находящихся в трудной жизненной ситуации. В данном вопросе роль органов местного самоуправления законодательно закреплена в Кодексе Кыргызской Республики о детях, однако другие законодательные акты, регулирующие деятельность органов местного самоуправления, не приведены в соответствие с данным Кодексом.</w:t>
      </w:r>
    </w:p>
    <w:p>
      <w:pPr>
        <w:spacing w:after="60"/>
        <w:ind w:firstLine="567"/>
        <w:jc w:val="both"/>
      </w:pPr>
      <w:r>
        <w:rPr>
          <w:rFonts w:ascii="Arial" w:cs="Arial" w:eastAsia="Arial" w:hAnsi="Arial"/>
          <w:sz w:val="24"/>
          <w:szCs w:val="24"/>
        </w:rPr>
        <w:t xml:space="preserve">15. Открытым остается вопрос развития социальных услуг на местном уровне. Проведение закупок социальных услуг у некоммерческих организаций осуществляется Министерством социального развития Кыргызской Республики в рамках законодательства.</w:t>
      </w:r>
    </w:p>
    <w:p>
      <w:pPr>
        <w:spacing w:after="60"/>
        <w:ind w:firstLine="567"/>
        <w:jc w:val="both"/>
      </w:pPr>
      <w:r>
        <w:rPr>
          <w:rFonts w:ascii="Arial" w:cs="Arial" w:eastAsia="Arial" w:hAnsi="Arial"/>
          <w:sz w:val="24"/>
          <w:szCs w:val="24"/>
        </w:rPr>
        <w:t xml:space="preserve">16. Находится на стадии разработки проект Положения о порядке аккредитации организаций, осуществляющих деятельность по уходу за детьми, воспитанию и содержанию детей в учреждениях интернатного типа независимо от форм собственности.</w:t>
      </w:r>
    </w:p>
    <w:p>
      <w:pPr>
        <w:spacing w:after="60"/>
        <w:ind w:firstLine="567"/>
        <w:jc w:val="both"/>
      </w:pPr>
      <w:r>
        <w:rPr>
          <w:rFonts w:ascii="Arial" w:cs="Arial" w:eastAsia="Arial" w:hAnsi="Arial"/>
          <w:sz w:val="24"/>
          <w:szCs w:val="24"/>
        </w:rPr>
        <w:t xml:space="preserve">17. Выплата ЕПМС не оказывает воздействия на снижение уровня бедности из-за невысокого размера. Действующая система назначения ЕПМС стимулирует сокрытие доходов малообеспеченных граждан для получения более высокого размера пособий. Семьи, в составе которых имеются трудоспособные члены, годами получают ЕПМС. Недостаточно развит механизм активного вовлечения малообеспеченных семей в сферу занятости. Требуется совершенствование системы ЕПМС с целью улучшения адресности.</w:t>
      </w:r>
    </w:p>
    <w:p>
      <w:pPr>
        <w:spacing w:after="60"/>
        <w:ind w:firstLine="567"/>
        <w:jc w:val="both"/>
      </w:pPr>
      <w:r>
        <w:rPr>
          <w:rFonts w:ascii="Arial" w:cs="Arial" w:eastAsia="Arial" w:hAnsi="Arial"/>
          <w:sz w:val="24"/>
          <w:szCs w:val="24"/>
        </w:rPr>
        <w:t xml:space="preserve">18. Ежегодно 400 детей-сирот завершают учебу в системе профтехобразования. После окончания учебного заведения они не могут начать самостоятельную жизнь в обществе из-за отсутствия жилья. В Жилищном кодексе Кыргызской Республики отсутствует понятие "социальное жилье".</w:t>
      </w:r>
    </w:p>
    <w:p>
      <w:pPr>
        <w:spacing w:after="60"/>
        <w:ind w:firstLine="567"/>
        <w:jc w:val="both"/>
      </w:pPr>
      <w:r>
        <w:rPr>
          <w:rFonts w:ascii="Arial" w:cs="Arial" w:eastAsia="Arial" w:hAnsi="Arial"/>
          <w:sz w:val="24"/>
          <w:szCs w:val="24"/>
        </w:rPr>
        <w:t xml:space="preserve">19. Исходя из анализа ситуации, приведенного выше, на период 2015-2017 годов в сфере социальной защиты семей и детей, находящихся в трудной жизненной ситуации, определена следующая цель: создание условий для развития и жизнедеятельности детей и семей, находящихся в трудной жизненной ситуации, и обеспечение их качественными социальными услугами.</w:t>
      </w:r>
    </w:p>
    <w:p>
      <w:pPr>
        <w:spacing w:after="60"/>
        <w:ind w:firstLine="567"/>
        <w:jc w:val="both"/>
      </w:pPr>
      <w:r>
        <w:rPr>
          <w:rFonts w:ascii="Arial" w:cs="Arial" w:eastAsia="Arial" w:hAnsi="Arial"/>
          <w:sz w:val="24"/>
          <w:szCs w:val="24"/>
        </w:rPr>
        <w:t xml:space="preserve">В предстоящие три года указанная цель будет достигнута путем решения следующих задач:</w:t>
      </w:r>
    </w:p>
    <w:p>
      <w:pPr>
        <w:spacing w:after="60"/>
        <w:ind w:firstLine="567"/>
        <w:jc w:val="both"/>
      </w:pPr>
      <w:r>
        <w:rPr>
          <w:rFonts w:ascii="Arial" w:cs="Arial" w:eastAsia="Arial" w:hAnsi="Arial"/>
          <w:sz w:val="24"/>
          <w:szCs w:val="24"/>
        </w:rPr>
        <w:t xml:space="preserve">- усиление механизмов своевременного выявления и сопровождения детей и семей, находящихся в трудной жизненной ситуации;</w:t>
      </w:r>
    </w:p>
    <w:p>
      <w:pPr>
        <w:spacing w:after="60"/>
        <w:ind w:firstLine="567"/>
        <w:jc w:val="both"/>
      </w:pPr>
      <w:r>
        <w:rPr>
          <w:rFonts w:ascii="Arial" w:cs="Arial" w:eastAsia="Arial" w:hAnsi="Arial"/>
          <w:sz w:val="24"/>
          <w:szCs w:val="24"/>
        </w:rPr>
        <w:t xml:space="preserve">- улучшение качества оказания социальных услуг, ориентированных на семейное окружение;</w:t>
      </w:r>
    </w:p>
    <w:p>
      <w:pPr>
        <w:spacing w:after="60"/>
        <w:ind w:firstLine="567"/>
        <w:jc w:val="both"/>
      </w:pPr>
      <w:r>
        <w:rPr>
          <w:rFonts w:ascii="Arial" w:cs="Arial" w:eastAsia="Arial" w:hAnsi="Arial"/>
          <w:sz w:val="24"/>
          <w:szCs w:val="24"/>
        </w:rPr>
        <w:t xml:space="preserve">- внедрение механизмов муниципальных социальных заказов в процессе формирования рынка социальных услуг;</w:t>
      </w:r>
    </w:p>
    <w:p>
      <w:pPr>
        <w:spacing w:after="60"/>
        <w:ind w:firstLine="567"/>
        <w:jc w:val="both"/>
      </w:pPr>
      <w:r>
        <w:rPr>
          <w:rFonts w:ascii="Arial" w:cs="Arial" w:eastAsia="Arial" w:hAnsi="Arial"/>
          <w:sz w:val="24"/>
          <w:szCs w:val="24"/>
        </w:rPr>
        <w:t xml:space="preserve">- улучшение эффективности системы ЕПМС;</w:t>
      </w:r>
    </w:p>
    <w:p>
      <w:pPr>
        <w:spacing w:after="60"/>
        <w:ind w:firstLine="567"/>
        <w:jc w:val="both"/>
      </w:pPr>
      <w:r>
        <w:rPr>
          <w:rFonts w:ascii="Arial" w:cs="Arial" w:eastAsia="Arial" w:hAnsi="Arial"/>
          <w:sz w:val="24"/>
          <w:szCs w:val="24"/>
        </w:rPr>
        <w:t xml:space="preserve">- усиление социальной поддержки детей, потерявших одного/обоих кормильцев.</w:t>
      </w:r>
    </w:p>
    <w:p>
      <w:pPr>
        <w:spacing w:after="60"/>
        <w:ind w:firstLine="567"/>
        <w:jc w:val="both"/>
      </w:pPr>
      <w:r>
        <w:rPr>
          <w:rFonts w:ascii="Arial" w:cs="Arial" w:eastAsia="Arial" w:hAnsi="Arial"/>
          <w:i/>
          <w:iCs/>
          <w:sz w:val="24"/>
          <w:szCs w:val="24"/>
        </w:rPr>
        <w:t xml:space="preserve">(Абзац 8 утратил силу в соответствии с </w:t>
      </w:r>
      <w:hyperlink w:history="1" r:id="rIdqe6aspbpjoxfjpywzzg6o">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ebtfpwhg6s0nsbh-nzgnn">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6. Социальная защита лиц с ограниченными возможностями здоровья</w:t>
      </w:r>
    </w:p>
    <w:p>
      <w:pPr>
        <w:spacing w:after="60"/>
        <w:ind w:firstLine="567"/>
        <w:jc w:val="both"/>
      </w:pPr>
      <w:r>
        <w:rPr>
          <w:rFonts w:ascii="Arial" w:cs="Arial" w:eastAsia="Arial" w:hAnsi="Arial"/>
          <w:sz w:val="24"/>
          <w:szCs w:val="24"/>
        </w:rPr>
        <w:t xml:space="preserve">20. Одним из приоритетных направлений Программы на 2015-2017 годы является проведение комплекса мер по социальной интеграции в общество лиц с ограниченными возможностями здоровья (далее - ЛОВЗ).</w:t>
      </w:r>
    </w:p>
    <w:p>
      <w:pPr>
        <w:spacing w:after="60"/>
        <w:ind w:firstLine="567"/>
        <w:jc w:val="both"/>
      </w:pPr>
      <w:r>
        <w:rPr>
          <w:rFonts w:ascii="Arial" w:cs="Arial" w:eastAsia="Arial" w:hAnsi="Arial"/>
          <w:sz w:val="24"/>
          <w:szCs w:val="24"/>
        </w:rPr>
        <w:t xml:space="preserve">Актуальность данной проблемы определяется наличием в обществе значительного количества лиц, имеющих признаки ограничения жизнедеятельности. На 1 января 2014 года в Кыргызстане численность ЛОВЗ составляла 155,9 тыс. человек, или 2,7% от общей численности населения республики, из них 17,1% составляют дети.</w:t>
      </w:r>
    </w:p>
    <w:p>
      <w:pPr>
        <w:spacing w:after="60"/>
        <w:ind w:firstLine="567"/>
        <w:jc w:val="both"/>
      </w:pPr>
      <w:r>
        <w:rPr>
          <w:rFonts w:ascii="Arial" w:cs="Arial" w:eastAsia="Arial" w:hAnsi="Arial"/>
          <w:sz w:val="24"/>
          <w:szCs w:val="24"/>
        </w:rPr>
        <w:t xml:space="preserve">Количество ЛОВЗ из года в год увеличивается. Если в 2011 году численность ЛОВЗ составляла 142,4 тыс. человек, то в 2012 году она увеличилась на 5,1%, в 2013 году - на 4,1%. Из общего числа людей, впервые признанных инвалидами, более 55% составляют ЛОВЗ мужского пола. Доля мужчин с ограниченными возможностями здоровья, получивших инвалидность вследствие трудового увечья, профессионального заболевания и ликвидации аварии на ЧАЭС, составляет 0,8%, женщин с ограниченными возможностями здоровья - 0,1%. Из общего количества ЛОВЗ пенсии по инвалидности получают 62,7%, социальное пособие - 37,3%.</w:t>
      </w:r>
    </w:p>
    <w:p>
      <w:pPr>
        <w:spacing w:after="60"/>
        <w:ind w:firstLine="567"/>
        <w:jc w:val="both"/>
      </w:pPr>
      <w:r>
        <w:rPr>
          <w:rFonts w:ascii="Arial" w:cs="Arial" w:eastAsia="Arial" w:hAnsi="Arial"/>
          <w:sz w:val="24"/>
          <w:szCs w:val="24"/>
        </w:rPr>
        <w:t xml:space="preserve">В постоянном уходе нуждаются более 4,0 тыс. детей с ОВЗ, или 16,1% от общего количества детей с ограниченными возможностями здоровья. В связи с этим один из родителей вынужден оставить работу, и соответственно, не будет иметь трудового стажа и права на пенсионное обеспечение. Вместо пенсии назначается ЕСП. В основном за детьми с ограниченными возможностями здоровья, нуждающимися в постоянном постороннем уходе и надзоре, ухаживают женщины-родители.</w:t>
      </w:r>
    </w:p>
    <w:p>
      <w:pPr>
        <w:spacing w:after="60"/>
        <w:ind w:firstLine="567"/>
        <w:jc w:val="both"/>
      </w:pPr>
      <w:r>
        <w:rPr>
          <w:rFonts w:ascii="Arial" w:cs="Arial" w:eastAsia="Arial" w:hAnsi="Arial"/>
          <w:sz w:val="24"/>
          <w:szCs w:val="24"/>
        </w:rPr>
        <w:t xml:space="preserve">Анализ ситуации показывает, что в структуре причин инвалидности среди детей в последние годы лидирующие позиции продолжают занимать заболевания нервной системы, врожденные аномалии развития, психические расстройства.</w:t>
      </w:r>
    </w:p>
    <w:p>
      <w:pPr>
        <w:spacing w:after="60"/>
        <w:ind w:firstLine="567"/>
        <w:jc w:val="both"/>
      </w:pPr>
      <w:r>
        <w:rPr>
          <w:rFonts w:ascii="Arial" w:cs="Arial" w:eastAsia="Arial" w:hAnsi="Arial"/>
          <w:sz w:val="24"/>
          <w:szCs w:val="24"/>
        </w:rPr>
        <w:t xml:space="preserve">21. В Кыргызской Республике в последние годы проводилась активная работа в данном направлении. В целях обеспечения прав и улучшения качества жизни ЛОВЗ, а также подготовки предложений по ратификации Конвенции о правах инвалидов утвержден Комплекс мер по обеспечению прав к улучшению качества жизни лиц с ограниченными возможностями здоровья в Кыргызской Республике на 2014-2017 годы.</w:t>
      </w:r>
    </w:p>
    <w:p>
      <w:pPr>
        <w:spacing w:after="60"/>
        <w:ind w:firstLine="567"/>
        <w:jc w:val="both"/>
      </w:pPr>
      <w:r>
        <w:rPr>
          <w:rFonts w:ascii="Arial" w:cs="Arial" w:eastAsia="Arial" w:hAnsi="Arial"/>
          <w:sz w:val="24"/>
          <w:szCs w:val="24"/>
        </w:rPr>
        <w:t xml:space="preserve">В рамках реализации </w:t>
      </w:r>
      <w:hyperlink w:history="1" r:id="rIdfirtlgxqqwffeiea630fo">
        <w:r>
          <w:rPr>
            <w:rFonts w:ascii="Arial" w:cs="Arial" w:eastAsia="Arial" w:hAnsi="Arial"/>
            <w:color w:val="1D4ED8"/>
            <w:sz w:val="24"/>
            <w:szCs w:val="24"/>
            <w:u w:val="single"/>
          </w:rPr>
          <w:t xml:space="preserve">Стратегии</w:t>
        </w:r>
      </w:hyperlink>
      <w:r>
        <w:rPr>
          <w:rFonts w:ascii="Arial" w:cs="Arial" w:eastAsia="Arial" w:hAnsi="Arial"/>
          <w:sz w:val="24"/>
          <w:szCs w:val="24"/>
        </w:rPr>
        <w:t xml:space="preserve"> на 2012-2014 годы начата работа по реформированию системы медико-социальной экспертизы (далее - МСЭ). До недавнего времени доминирующей являлась "медицинская модель инвалидности", в которой инвалидность рассматривалась как чисто медицинский вопрос, относимый только к индивиду и требующий только медицинского вмешательства. Реформа МСЭ направлена на персональную работу с каждым человеком с ограниченными возможностями здоровья в отдельности. Новая методика установления инвалидности будет пилотирована в 4-х территориальных медико-социальных экспертных комиссий (далее - МСЭК).</w:t>
      </w:r>
    </w:p>
    <w:p>
      <w:pPr>
        <w:spacing w:after="60"/>
        <w:ind w:firstLine="567"/>
        <w:jc w:val="both"/>
      </w:pPr>
      <w:r>
        <w:rPr>
          <w:rFonts w:ascii="Arial" w:cs="Arial" w:eastAsia="Arial" w:hAnsi="Arial"/>
          <w:sz w:val="24"/>
          <w:szCs w:val="24"/>
        </w:rPr>
        <w:t xml:space="preserve">Создана единая база данных ЛОВЗ на основе программного обеспечения "Единая база данных лиц с ограниченными возможностями здоровья".</w:t>
      </w:r>
    </w:p>
    <w:p>
      <w:pPr>
        <w:spacing w:after="60"/>
        <w:ind w:firstLine="567"/>
        <w:jc w:val="both"/>
      </w:pPr>
      <w:r>
        <w:rPr>
          <w:rFonts w:ascii="Arial" w:cs="Arial" w:eastAsia="Arial" w:hAnsi="Arial"/>
          <w:sz w:val="24"/>
          <w:szCs w:val="24"/>
        </w:rPr>
        <w:t xml:space="preserve">В целях гуманизации общества и адаптации ЛОВЗ проводятся акции "От сердца к сердцу", в которых участвуют до 1,5 тысячи и более детей с ограниченными возможностями здоровья, а также "круглые столы" на тему "Опыт успешных ЛОВЗ".</w:t>
      </w:r>
    </w:p>
    <w:p>
      <w:pPr>
        <w:spacing w:after="60"/>
        <w:ind w:firstLine="567"/>
        <w:jc w:val="both"/>
      </w:pPr>
      <w:r>
        <w:rPr>
          <w:rFonts w:ascii="Arial" w:cs="Arial" w:eastAsia="Arial" w:hAnsi="Arial"/>
          <w:sz w:val="24"/>
          <w:szCs w:val="24"/>
        </w:rPr>
        <w:t xml:space="preserve">22. Более 3,0 тыс. одиноко проживающих ЛОВЗ получают услуги социального обслуживания на дому на бесплатной основе. В систему организаций социального обслуживания входят государственные социальные стационарные учреждения для престарелых и ЛОВЗ. Всего в системе Министерства социального развития Кыргызской Республики функционируют 13 социальных стационарных учреждений, 2 реабилитационных центра. В данных учреждениях на полном государственном обеспечении находятся 2,3 тыс. подопечных, из них 1,9 тыс. ЛОВЗ, и 1 Реабилитационный центр, где около 500 ЛОВЗ в год получают реабилитационные услуги.</w:t>
      </w:r>
    </w:p>
    <w:p>
      <w:pPr>
        <w:spacing w:after="60"/>
        <w:ind w:firstLine="567"/>
        <w:jc w:val="both"/>
      </w:pPr>
      <w:r>
        <w:rPr>
          <w:rFonts w:ascii="Arial" w:cs="Arial" w:eastAsia="Arial" w:hAnsi="Arial"/>
          <w:sz w:val="24"/>
          <w:szCs w:val="24"/>
        </w:rPr>
        <w:t xml:space="preserve">23. Особое развитие в настоящее время получают некоммерческие организации, оказывающие социальные услуги ЛОВЗ. Мировой опыт показывает, что государство должно исполнять только те функции, которые оно объективно не может делегировать некоммерческому сектору. Во исполнение </w:t>
      </w:r>
      <w:hyperlink w:history="1" r:id="rId3ggeavk4bizuezsd-7rrz">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государственном социальном заказе" Министерством социального развития Кыргызской Республики проводится целенаправленная работа по закупке социальных услуг у негосударственного сектора, в том числе для ЛОВЗ. За последние три года (2011-2013 годы) объем финансирования государственного социального заказа увеличился на 77,1% и составил 22,5 млн. сомов. Для обеспечения доступа ЛОВЗ к социальным услугам созданы 6 реабилитационных центров в рамках реализации государственного социального заказа, созданы условия для получения санаторно-курортного лечения по месту их проживания.</w:t>
      </w:r>
    </w:p>
    <w:p>
      <w:pPr>
        <w:spacing w:after="60"/>
        <w:ind w:firstLine="567"/>
        <w:jc w:val="both"/>
      </w:pPr>
      <w:r>
        <w:rPr>
          <w:rFonts w:ascii="Arial" w:cs="Arial" w:eastAsia="Arial" w:hAnsi="Arial"/>
          <w:sz w:val="24"/>
          <w:szCs w:val="24"/>
        </w:rPr>
        <w:t xml:space="preserve">Утверждены минимальные социальные стандарты социальных услуг, предоставляемых ЛОВЗ, детям с ОВЗ в стационарных и полустационарных организациях и учреждениях социального обслуживания, что позволит повысить качество и безопасность социальных услуг. Дальнейшая деятельность должна быть направлена на создание системы оценки качества и стоимости услуг.</w:t>
      </w:r>
    </w:p>
    <w:p>
      <w:pPr>
        <w:spacing w:after="60"/>
        <w:ind w:firstLine="567"/>
        <w:jc w:val="both"/>
      </w:pPr>
      <w:r>
        <w:rPr>
          <w:rFonts w:ascii="Arial" w:cs="Arial" w:eastAsia="Arial" w:hAnsi="Arial"/>
          <w:sz w:val="24"/>
          <w:szCs w:val="24"/>
        </w:rPr>
        <w:t xml:space="preserve">24. Проведена значительная работа по созданию условий для доступа ЛОВЗ к инфраструктуре. В городе Бишкек установлены 2 звукосигнальных устройства для безопасного передвижения пешеходов с ограниченными функциями зрения. На автодороге Бишкек - Нарын - Торугарт также установлен пешеходный светофор со звукосигнальным устройством для безопасного передвижения пешеходов с ограниченными функциями зрения. Проведена работа по обновлению парка пассажирских транспортных средств, оборудованных специальными приспособлениями для ЛОВЗ. Мэрией города Бишкек приобретено более 30 единиц низкопольных троллейбусов.</w:t>
      </w:r>
    </w:p>
    <w:p>
      <w:pPr>
        <w:spacing w:after="60"/>
        <w:ind w:firstLine="567"/>
        <w:jc w:val="both"/>
      </w:pPr>
      <w:r>
        <w:rPr>
          <w:rFonts w:ascii="Arial" w:cs="Arial" w:eastAsia="Arial" w:hAnsi="Arial"/>
          <w:sz w:val="24"/>
          <w:szCs w:val="24"/>
        </w:rPr>
        <w:t xml:space="preserve">Ведется работа по ужесточению контроля за проектированием, строительством, приемом в эксплуатацию объектов здравоохранения, торговли, бытового обслуживания и других объектов социального назначения в части соблюдения нормативных требований к обеспечению доступа и установлению возможных приспособлений для инвалидов и маломобильных групп населения.</w:t>
      </w:r>
    </w:p>
    <w:p>
      <w:pPr>
        <w:spacing w:after="60"/>
        <w:ind w:firstLine="567"/>
        <w:jc w:val="both"/>
      </w:pPr>
      <w:r>
        <w:rPr>
          <w:rFonts w:ascii="Arial" w:cs="Arial" w:eastAsia="Arial" w:hAnsi="Arial"/>
          <w:sz w:val="24"/>
          <w:szCs w:val="24"/>
        </w:rPr>
        <w:t xml:space="preserve">Несмотря на проводимую работу, спектр социальных услуг требует дальнейшего развития. Серьезным препятствием интеграции ЛОВЗ в общество продолжают оставаться ограничения по доступу ЛОВЗ к объектам социальной инфраструктуры.</w:t>
      </w:r>
    </w:p>
    <w:p>
      <w:pPr>
        <w:spacing w:after="60"/>
        <w:ind w:firstLine="567"/>
        <w:jc w:val="both"/>
      </w:pPr>
      <w:r>
        <w:rPr>
          <w:rFonts w:ascii="Arial" w:cs="Arial" w:eastAsia="Arial" w:hAnsi="Arial"/>
          <w:sz w:val="24"/>
          <w:szCs w:val="24"/>
        </w:rPr>
        <w:t xml:space="preserve">25. Основные проблемы в сфере социальной защиты ЛОВЗ носят правовой и инфраструктурный характер. В частности, не в полной мере соблюдаются нормы законодательства по вопросам реализации прав ЛОВЗ. Это ведет к ограниченному доступу к реабилитационным услугам и учреждениям, низкому качеству предоставляемых услуг ЛОВЗ. Одной из насущных проблем также является отсутствие необходимой физической инфраструктуры и общественного транспорта, адаптированных под нужды ЛОВЗ.</w:t>
      </w:r>
    </w:p>
    <w:p>
      <w:pPr>
        <w:spacing w:after="60"/>
        <w:ind w:firstLine="567"/>
        <w:jc w:val="both"/>
      </w:pPr>
      <w:r>
        <w:rPr>
          <w:rFonts w:ascii="Arial" w:cs="Arial" w:eastAsia="Arial" w:hAnsi="Arial"/>
          <w:sz w:val="24"/>
          <w:szCs w:val="24"/>
        </w:rPr>
        <w:t xml:space="preserve">Имеются трудности с интеграцией ЛОВЗ в общественную жизнь, в частности, предусматривающей беспрепятственный доступ к образованию, здравоохранению, труду, культуре и спорту. Социальная и пространственная изоляция обусловлена наличием "социальных барьеров инвалидности".</w:t>
      </w:r>
    </w:p>
    <w:p>
      <w:pPr>
        <w:spacing w:after="60"/>
        <w:ind w:firstLine="567"/>
        <w:jc w:val="both"/>
      </w:pPr>
      <w:r>
        <w:rPr>
          <w:rFonts w:ascii="Arial" w:cs="Arial" w:eastAsia="Arial" w:hAnsi="Arial"/>
          <w:sz w:val="24"/>
          <w:szCs w:val="24"/>
        </w:rPr>
        <w:t xml:space="preserve">Актуальным остается вопрос несоразмерности пенсий и социальных пособий ЛОВЗ, опережение в отдельных случаях размеров ЕСП по отношению к размерам пенсий по инвалидности.</w:t>
      </w:r>
    </w:p>
    <w:p>
      <w:pPr>
        <w:spacing w:after="60"/>
        <w:ind w:firstLine="567"/>
        <w:jc w:val="both"/>
      </w:pPr>
      <w:r>
        <w:rPr>
          <w:rFonts w:ascii="Arial" w:cs="Arial" w:eastAsia="Arial" w:hAnsi="Arial"/>
          <w:sz w:val="24"/>
          <w:szCs w:val="24"/>
        </w:rPr>
        <w:t xml:space="preserve">26. Исходя из анализа ситуации, приведенного выше, на период 2015-2017 годов в сфере социальной защиты ЛОВЗ определена следующая цель: обеспечение равноправного доступа к базовым услугам и создание доступной для ЛОВЗ среды жизнедеятельности для эффективной интеграции их в общество.</w:t>
      </w:r>
    </w:p>
    <w:p>
      <w:pPr>
        <w:spacing w:after="60"/>
        <w:ind w:firstLine="567"/>
        <w:jc w:val="both"/>
      </w:pPr>
      <w:r>
        <w:rPr>
          <w:rFonts w:ascii="Arial" w:cs="Arial" w:eastAsia="Arial" w:hAnsi="Arial"/>
          <w:sz w:val="24"/>
          <w:szCs w:val="24"/>
        </w:rPr>
        <w:t xml:space="preserve">27. В предстоящие три года данная цель будет достигнута путем решения следующих задач:</w:t>
      </w:r>
    </w:p>
    <w:p>
      <w:pPr>
        <w:spacing w:after="60"/>
        <w:ind w:firstLine="567"/>
        <w:jc w:val="both"/>
      </w:pPr>
      <w:r>
        <w:rPr>
          <w:rFonts w:ascii="Arial" w:cs="Arial" w:eastAsia="Arial" w:hAnsi="Arial"/>
          <w:sz w:val="24"/>
          <w:szCs w:val="24"/>
        </w:rPr>
        <w:t xml:space="preserve">- предупреждение и профилактика инвалидности;</w:t>
      </w:r>
    </w:p>
    <w:p>
      <w:pPr>
        <w:spacing w:after="60"/>
        <w:ind w:firstLine="567"/>
        <w:jc w:val="both"/>
      </w:pPr>
      <w:r>
        <w:rPr>
          <w:rFonts w:ascii="Arial" w:cs="Arial" w:eastAsia="Arial" w:hAnsi="Arial"/>
          <w:sz w:val="24"/>
          <w:szCs w:val="24"/>
        </w:rPr>
        <w:t xml:space="preserve">- улучшение качества и доступа к медицинским, образовательным и социальным услугам;</w:t>
      </w:r>
    </w:p>
    <w:p>
      <w:pPr>
        <w:spacing w:after="60"/>
        <w:ind w:firstLine="567"/>
        <w:jc w:val="both"/>
      </w:pPr>
      <w:r>
        <w:rPr>
          <w:rFonts w:ascii="Arial" w:cs="Arial" w:eastAsia="Arial" w:hAnsi="Arial"/>
          <w:sz w:val="24"/>
          <w:szCs w:val="24"/>
        </w:rPr>
        <w:t xml:space="preserve">- обеспечение равных прав и возможностей для ЛОВЗ;</w:t>
      </w:r>
    </w:p>
    <w:p>
      <w:pPr>
        <w:spacing w:after="60"/>
        <w:ind w:firstLine="567"/>
        <w:jc w:val="both"/>
      </w:pPr>
      <w:r>
        <w:rPr>
          <w:rFonts w:ascii="Arial" w:cs="Arial" w:eastAsia="Arial" w:hAnsi="Arial"/>
          <w:sz w:val="24"/>
          <w:szCs w:val="24"/>
        </w:rPr>
        <w:t xml:space="preserve">- улучшение системы пенсионного обеспечения ЛОВЗ, а также обеспечение гарантированных государством выплат.</w:t>
      </w:r>
    </w:p>
    <w:p>
      <w:pPr>
        <w:spacing w:after="60"/>
        <w:ind w:firstLine="567"/>
        <w:jc w:val="both"/>
      </w:pPr>
      <w:r>
        <w:rPr>
          <w:rFonts w:ascii="Arial" w:cs="Arial" w:eastAsia="Arial" w:hAnsi="Arial"/>
          <w:i/>
          <w:iCs/>
          <w:sz w:val="24"/>
          <w:szCs w:val="24"/>
        </w:rPr>
        <w:t xml:space="preserve">28. (Утратил силу в соответствии с </w:t>
      </w:r>
      <w:hyperlink w:history="1" r:id="rIdh3jtybxewzuqyzusvkfwg">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200" w:before="200"/>
        <w:jc w:val="center"/>
      </w:pPr>
      <w:r>
        <w:rPr>
          <w:rFonts w:ascii="Arial" w:cs="Arial" w:eastAsia="Arial" w:hAnsi="Arial"/>
          <w:b/>
          <w:bCs/>
          <w:sz w:val="24"/>
          <w:szCs w:val="24"/>
        </w:rPr>
        <w:t xml:space="preserve">7. Социальная защита пожилых граждан</w:t>
      </w:r>
    </w:p>
    <w:p>
      <w:pPr>
        <w:spacing w:after="60"/>
        <w:ind w:firstLine="567"/>
        <w:jc w:val="both"/>
      </w:pPr>
      <w:r>
        <w:rPr>
          <w:rFonts w:ascii="Arial" w:cs="Arial" w:eastAsia="Arial" w:hAnsi="Arial"/>
          <w:sz w:val="24"/>
          <w:szCs w:val="24"/>
        </w:rPr>
        <w:t xml:space="preserve">29. На 1 января 2014 года в стране проживало более 400,0 тыс. пожилых граждан, что составляет около 7% от всего населения республики.</w:t>
      </w:r>
    </w:p>
    <w:p>
      <w:pPr>
        <w:spacing w:after="60"/>
        <w:ind w:firstLine="567"/>
        <w:jc w:val="both"/>
      </w:pPr>
      <w:r>
        <w:rPr>
          <w:rFonts w:ascii="Arial" w:cs="Arial" w:eastAsia="Arial" w:hAnsi="Arial"/>
          <w:sz w:val="24"/>
          <w:szCs w:val="24"/>
        </w:rPr>
        <w:t xml:space="preserve">Количество пенсионеров по республике составляет 580,8 тыс. человек, из них пенсии по возрасту получают 429,1 тыс. человек, или 73,9% от общего числа пенсионеров. За 2011-2013 годы средний размер пенсии по возрасту увеличился 18,7% и составил 4800 сомов. Вместе с тем, в 2013 году количество лиц, получающих пенсии ниже прожиточного минимума, составило 306,3 тыс. человек, или 52,7% от общего количества пенсионеров. В основном это лица, проживающие в сельской местности, и граждане, занимающиеся индивидуальной трудовой деятельностью.</w:t>
      </w:r>
    </w:p>
    <w:p>
      <w:pPr>
        <w:spacing w:after="60"/>
        <w:ind w:firstLine="567"/>
        <w:jc w:val="both"/>
      </w:pPr>
      <w:r>
        <w:rPr>
          <w:rFonts w:ascii="Arial" w:cs="Arial" w:eastAsia="Arial" w:hAnsi="Arial"/>
          <w:sz w:val="24"/>
          <w:szCs w:val="24"/>
        </w:rPr>
        <w:t xml:space="preserve">30. За период 2012-2014 годов приняты нормативные правовые акты по вопросам развития негосударственных пенсионных фондов, инвестирования средств для финансирования накопительной части пенсии по государственному социальному страхованию, установления права наследования средств пенсионных накоплений. Утвержден План мероприятий по развитию накопительной пенсионной системы в Кыргызской Республике. Разработаны и внедрены механизмы вовлечения граждан, занятых в неформальной экономике, в систему медицинского и пенсионного страхования. С 1 января 2013 года осуществляется выплата средств пенсионных накоплений Государственного накопительного пенсионного фонда.</w:t>
      </w:r>
    </w:p>
    <w:p>
      <w:pPr>
        <w:spacing w:after="60"/>
        <w:ind w:firstLine="567"/>
        <w:jc w:val="both"/>
      </w:pPr>
      <w:r>
        <w:rPr>
          <w:rFonts w:ascii="Arial" w:cs="Arial" w:eastAsia="Arial" w:hAnsi="Arial"/>
          <w:sz w:val="24"/>
          <w:szCs w:val="24"/>
        </w:rPr>
        <w:t xml:space="preserve">31. В целях обеспечения качества и безопасности социальных услуг внедряются минимальные социальные стандарты социальных услуг пожилым гражданам, находящимся в социальных стационарных учреждениях при Министерстве социального развития Кыргызской Республики. В целях улучшения жизненных условий подопечных социальных стационарных учреждений почти в два раза увеличены нормы расходов на питание для получателей услуг, проживающих в социальных стационарных учреждениях. Всего в системе Министерства социального развития Кыргызской Республики функционирует 6 социальных стационарных учреждений, в которых на полном государственном обеспечении находятся более 400 пожилых граждан.</w:t>
      </w:r>
    </w:p>
    <w:p>
      <w:pPr>
        <w:spacing w:after="60"/>
        <w:ind w:firstLine="567"/>
        <w:jc w:val="both"/>
      </w:pPr>
      <w:r>
        <w:rPr>
          <w:rFonts w:ascii="Arial" w:cs="Arial" w:eastAsia="Arial" w:hAnsi="Arial"/>
          <w:sz w:val="24"/>
          <w:szCs w:val="24"/>
        </w:rPr>
        <w:t xml:space="preserve">В целях развития социальных услуг для пожилых граждан открыты 2 учреждения по предоставлению социальных услуг. Более 6,0 тыс. одиноко проживающих пожилых граждан получают услуги социального обслуживания на дому на бесплатной основе.</w:t>
      </w:r>
    </w:p>
    <w:p>
      <w:pPr>
        <w:spacing w:after="60"/>
        <w:ind w:firstLine="567"/>
        <w:jc w:val="both"/>
      </w:pPr>
      <w:r>
        <w:rPr>
          <w:rFonts w:ascii="Arial" w:cs="Arial" w:eastAsia="Arial" w:hAnsi="Arial"/>
          <w:sz w:val="24"/>
          <w:szCs w:val="24"/>
        </w:rPr>
        <w:t xml:space="preserve">32. Несмотря на меры, принятые Правительством Кыргызской Республики, в настоящее время значительная часть пенсионеров не в состоянии удовлетворить свои потребности за счет получаемых пенсий. В общей численности бедного населения республики 5,6% составляют лица пожилого возраста.</w:t>
      </w:r>
    </w:p>
    <w:p>
      <w:pPr>
        <w:spacing w:after="60"/>
        <w:ind w:firstLine="567"/>
        <w:jc w:val="both"/>
      </w:pPr>
      <w:r>
        <w:rPr>
          <w:rFonts w:ascii="Arial" w:cs="Arial" w:eastAsia="Arial" w:hAnsi="Arial"/>
          <w:sz w:val="24"/>
          <w:szCs w:val="24"/>
        </w:rPr>
        <w:t xml:space="preserve">Низкие размеры пенсий обусловлены недостаточными размерами тарифов социального страхования и требуют пересмотра тарифной политики государственного социального страхования, В этом направлении проводится целенаправленная работа в рамках реализации </w:t>
      </w:r>
      <w:hyperlink w:history="1" r:id="rIdqlztpdagw89j1u_xgi1qe">
        <w:r>
          <w:rPr>
            <w:rFonts w:ascii="Arial" w:cs="Arial" w:eastAsia="Arial" w:hAnsi="Arial"/>
            <w:color w:val="1D4ED8"/>
            <w:sz w:val="24"/>
            <w:szCs w:val="24"/>
            <w:u w:val="single"/>
          </w:rPr>
          <w:t xml:space="preserve">Концепции</w:t>
        </w:r>
      </w:hyperlink>
      <w:r>
        <w:rPr>
          <w:rFonts w:ascii="Arial" w:cs="Arial" w:eastAsia="Arial" w:hAnsi="Arial"/>
          <w:sz w:val="24"/>
          <w:szCs w:val="24"/>
        </w:rPr>
        <w:t xml:space="preserve"> развития системы пенсионного обеспечения Кыргызской Республики, утвержденной </w:t>
      </w:r>
      <w:hyperlink w:history="1" r:id="rIdugs23xiddxlffaipyerv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24 ноября 2014 года № 670.</w:t>
      </w:r>
    </w:p>
    <w:p>
      <w:pPr>
        <w:spacing w:after="60"/>
        <w:ind w:firstLine="567"/>
        <w:jc w:val="both"/>
      </w:pPr>
      <w:r>
        <w:rPr>
          <w:rFonts w:ascii="Arial" w:cs="Arial" w:eastAsia="Arial" w:hAnsi="Arial"/>
          <w:sz w:val="24"/>
          <w:szCs w:val="24"/>
        </w:rPr>
        <w:t xml:space="preserve">Вместе с тем, сложившаяся система пенсионного обеспечения не соответствует современным требованиям. Она не стимулирует граждан к выплате пенсионных отчислений, слабо учитывает реальный вклад работающих граждан в пенсионный фонд.</w:t>
      </w:r>
    </w:p>
    <w:p>
      <w:pPr>
        <w:spacing w:after="60"/>
        <w:ind w:firstLine="567"/>
        <w:jc w:val="both"/>
      </w:pPr>
      <w:r>
        <w:rPr>
          <w:rFonts w:ascii="Arial" w:cs="Arial" w:eastAsia="Arial" w:hAnsi="Arial"/>
          <w:sz w:val="24"/>
          <w:szCs w:val="24"/>
        </w:rPr>
        <w:t xml:space="preserve">33. Требует решения вопрос установления одинакового размера базовой части пенсии, поскольку ее размеры исчисляются прямо пропорционально наработанному стажу. Концепцией развития системы пенсионного обеспечения Кыргызской Республики предусмотрена переоценка роли базовой части пенсии, назначение ее вне зависимости от стажа, но при этом будет введен минимальный страховой стаж для получения права на пенсию.</w:t>
      </w:r>
    </w:p>
    <w:p>
      <w:pPr>
        <w:spacing w:after="60"/>
        <w:ind w:firstLine="567"/>
        <w:jc w:val="both"/>
      </w:pPr>
      <w:r>
        <w:rPr>
          <w:rFonts w:ascii="Arial" w:cs="Arial" w:eastAsia="Arial" w:hAnsi="Arial"/>
          <w:sz w:val="24"/>
          <w:szCs w:val="24"/>
        </w:rPr>
        <w:t xml:space="preserve">34. Необходимо также ввести механизмы обеспечения безопасности социальных услуг, предоставляемых пожилым гражданам (аккредитация).</w:t>
      </w:r>
    </w:p>
    <w:p>
      <w:pPr>
        <w:spacing w:after="60"/>
        <w:ind w:firstLine="567"/>
        <w:jc w:val="both"/>
      </w:pPr>
      <w:r>
        <w:rPr>
          <w:rFonts w:ascii="Arial" w:cs="Arial" w:eastAsia="Arial" w:hAnsi="Arial"/>
          <w:sz w:val="24"/>
          <w:szCs w:val="24"/>
        </w:rPr>
        <w:t xml:space="preserve">35. Остается актуальным вопрос повышения ответственности местных государственных администраций и органов местного самоуправления за развитие социальных услуг в регионах.</w:t>
      </w:r>
    </w:p>
    <w:p>
      <w:pPr>
        <w:spacing w:after="60"/>
        <w:ind w:firstLine="567"/>
        <w:jc w:val="both"/>
      </w:pPr>
      <w:r>
        <w:rPr>
          <w:rFonts w:ascii="Arial" w:cs="Arial" w:eastAsia="Arial" w:hAnsi="Arial"/>
          <w:sz w:val="24"/>
          <w:szCs w:val="24"/>
        </w:rPr>
        <w:t xml:space="preserve">36. Отсутствие исследований по проблемам старения с учетом демографической ситуации и гендерных аспектов затрудняет проведение прогнозирования ситуации в сфере старения населения. Недостаточный аналитический потенциал не позволяет в полной мере реагировать на возможные вызовы и риски в данной области.</w:t>
      </w:r>
    </w:p>
    <w:p>
      <w:pPr>
        <w:spacing w:after="60"/>
        <w:ind w:firstLine="567"/>
        <w:jc w:val="both"/>
      </w:pPr>
      <w:r>
        <w:rPr>
          <w:rFonts w:ascii="Arial" w:cs="Arial" w:eastAsia="Arial" w:hAnsi="Arial"/>
          <w:sz w:val="24"/>
          <w:szCs w:val="24"/>
        </w:rPr>
        <w:t xml:space="preserve">37. Исходя из анализа ситуации, приведенного выше, на период 2015-2017 годов в сфере социальной защиты пожилых граждан определена следующая цель: обеспечение пожилых граждан социальными выплатами и доступом к качественным социальным услугам.</w:t>
      </w:r>
    </w:p>
    <w:p>
      <w:pPr>
        <w:spacing w:after="60"/>
        <w:ind w:firstLine="567"/>
        <w:jc w:val="both"/>
      </w:pPr>
      <w:r>
        <w:rPr>
          <w:rFonts w:ascii="Arial" w:cs="Arial" w:eastAsia="Arial" w:hAnsi="Arial"/>
          <w:sz w:val="24"/>
          <w:szCs w:val="24"/>
        </w:rPr>
        <w:t xml:space="preserve">38. В предстоящие три года указанная цель будет достигнута путем решения следующих задач:</w:t>
      </w:r>
    </w:p>
    <w:p>
      <w:pPr>
        <w:spacing w:after="60"/>
        <w:ind w:firstLine="567"/>
        <w:jc w:val="both"/>
      </w:pPr>
      <w:r>
        <w:rPr>
          <w:rFonts w:ascii="Arial" w:cs="Arial" w:eastAsia="Arial" w:hAnsi="Arial"/>
          <w:sz w:val="24"/>
          <w:szCs w:val="24"/>
        </w:rPr>
        <w:t xml:space="preserve">- повышение доступа пожилых граждан к качественным социальным услугам;</w:t>
      </w:r>
    </w:p>
    <w:p>
      <w:pPr>
        <w:spacing w:after="60"/>
        <w:ind w:firstLine="567"/>
        <w:jc w:val="both"/>
      </w:pPr>
      <w:r>
        <w:rPr>
          <w:rFonts w:ascii="Arial" w:cs="Arial" w:eastAsia="Arial" w:hAnsi="Arial"/>
          <w:sz w:val="24"/>
          <w:szCs w:val="24"/>
        </w:rPr>
        <w:t xml:space="preserve">- усовершенствование тарифной политики в области государственного социального страхования лиц, занятых в неорганизованном секторе экономики;</w:t>
      </w:r>
    </w:p>
    <w:p>
      <w:pPr>
        <w:spacing w:after="60"/>
        <w:ind w:firstLine="567"/>
        <w:jc w:val="both"/>
      </w:pPr>
      <w:r>
        <w:rPr>
          <w:rFonts w:ascii="Arial" w:cs="Arial" w:eastAsia="Arial" w:hAnsi="Arial"/>
          <w:sz w:val="24"/>
          <w:szCs w:val="24"/>
        </w:rPr>
        <w:t xml:space="preserve">- укрепление здоровья, повышение благосостояния пожилых граждан;</w:t>
      </w:r>
    </w:p>
    <w:p>
      <w:pPr>
        <w:spacing w:after="60"/>
        <w:ind w:firstLine="567"/>
        <w:jc w:val="both"/>
      </w:pPr>
      <w:r>
        <w:rPr>
          <w:rFonts w:ascii="Arial" w:cs="Arial" w:eastAsia="Arial" w:hAnsi="Arial"/>
          <w:sz w:val="24"/>
          <w:szCs w:val="24"/>
        </w:rPr>
        <w:t xml:space="preserve">- создание условий для повышения квалификации и переквалификации, получения образования и трудоустройства пожилых граждан.</w:t>
      </w:r>
    </w:p>
    <w:p>
      <w:pPr>
        <w:spacing w:after="60"/>
        <w:ind w:firstLine="567"/>
        <w:jc w:val="both"/>
      </w:pPr>
      <w:r>
        <w:rPr>
          <w:rFonts w:ascii="Arial" w:cs="Arial" w:eastAsia="Arial" w:hAnsi="Arial"/>
          <w:i/>
          <w:iCs/>
          <w:sz w:val="24"/>
          <w:szCs w:val="24"/>
        </w:rPr>
        <w:t xml:space="preserve">39. (Утратил силу в соответствии с </w:t>
      </w:r>
      <w:hyperlink w:history="1" r:id="rIdi_pweycdrh02u6wn8ujwj">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200" w:before="200"/>
        <w:jc w:val="center"/>
      </w:pPr>
      <w:r>
        <w:rPr>
          <w:rFonts w:ascii="Arial" w:cs="Arial" w:eastAsia="Arial" w:hAnsi="Arial"/>
          <w:b/>
          <w:bCs/>
          <w:sz w:val="24"/>
          <w:szCs w:val="24"/>
        </w:rPr>
        <w:t xml:space="preserve">8. Дополнительные меры социальной защиты</w:t>
      </w:r>
    </w:p>
    <w:p>
      <w:pPr>
        <w:spacing w:after="60"/>
        <w:ind w:firstLine="567"/>
        <w:jc w:val="both"/>
      </w:pPr>
      <w:r>
        <w:rPr>
          <w:rFonts w:ascii="Arial" w:cs="Arial" w:eastAsia="Arial" w:hAnsi="Arial"/>
          <w:sz w:val="24"/>
          <w:szCs w:val="24"/>
        </w:rPr>
        <w:t xml:space="preserve">40. Пособия по беременности и родам выплачиваются из средств работодателя за первые 10 рабочих дней в размере 100% заработной платы. С одиннадцатого рабочего дня выплата осуществляется за счет республиканского бюджета из расчета 10 расчетных показателей в месяц - 1000 сомов. Для женщин, постоянно работающих и проживающих в высокогорных и отдаленных труднодоступных зонах, размер этих выплат на порядок выше и составляет 100% заработной платы за все рабочие дни.</w:t>
      </w:r>
    </w:p>
    <w:p>
      <w:pPr>
        <w:spacing w:after="60"/>
        <w:ind w:firstLine="567"/>
        <w:jc w:val="both"/>
      </w:pPr>
      <w:r>
        <w:rPr>
          <w:rFonts w:ascii="Arial" w:cs="Arial" w:eastAsia="Arial" w:hAnsi="Arial"/>
          <w:sz w:val="24"/>
          <w:szCs w:val="24"/>
        </w:rPr>
        <w:t xml:space="preserve">Средний размер пособия по беременности и родам с одиннадцатого рабочего дня (на 112 календарных дней) для работающих женщин составляет 7660 сомов, для женщин, занимающихся предпринимательской деятельностью, членов крестьянских (фермерских) хозяйств и безработных женщин, имеющих официальный статус безработного, - 3500 сомов, для женщин, постоянно проживающих и работающих в высокогорных и отдаленных труднодоступных зонах, составляет свыше 30,7 тыс. сомов.</w:t>
      </w:r>
    </w:p>
    <w:p>
      <w:pPr>
        <w:spacing w:after="60"/>
        <w:ind w:firstLine="567"/>
        <w:jc w:val="both"/>
      </w:pPr>
      <w:r>
        <w:rPr>
          <w:rFonts w:ascii="Arial" w:cs="Arial" w:eastAsia="Arial" w:hAnsi="Arial"/>
          <w:sz w:val="24"/>
          <w:szCs w:val="24"/>
        </w:rPr>
        <w:t xml:space="preserve">Назначение и выплата ритуального пособия (на погребение) финансируются из средств республиканского бюджета, Социального (пенсионного) фонда, местного бюджета. Размер ритуального пособия существенно отличается в зависимости от категории граждан. Для пенсионера размер пособия зависит от базовой части пенсии (1500 сомов). Средний размер социального пособия в 2013 году составил 3502 сома.</w:t>
      </w:r>
    </w:p>
    <w:p>
      <w:pPr>
        <w:spacing w:after="60"/>
        <w:ind w:firstLine="567"/>
        <w:jc w:val="both"/>
      </w:pPr>
      <w:r>
        <w:rPr>
          <w:rFonts w:ascii="Arial" w:cs="Arial" w:eastAsia="Arial" w:hAnsi="Arial"/>
          <w:sz w:val="24"/>
          <w:szCs w:val="24"/>
        </w:rPr>
        <w:t xml:space="preserve">Методику назначения пособия необходимо увязать с принципами социального страхования.</w:t>
      </w:r>
    </w:p>
    <w:p>
      <w:pPr>
        <w:spacing w:after="60"/>
        <w:ind w:firstLine="567"/>
        <w:jc w:val="both"/>
      </w:pPr>
      <w:r>
        <w:rPr>
          <w:rFonts w:ascii="Arial" w:cs="Arial" w:eastAsia="Arial" w:hAnsi="Arial"/>
          <w:sz w:val="24"/>
          <w:szCs w:val="24"/>
        </w:rPr>
        <w:t xml:space="preserve">41. </w:t>
      </w:r>
      <w:hyperlink w:history="1" r:id="rIdxjmqbhb13svmfqbuayzx8">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предусмотрено предоставление органами исполнительной власти жилищных субсидий гражданам, которые находятся в трудной жизненной ситуации и не в состоянии самостоятельно оплачивать жилищно-коммунальные услуги.</w:t>
      </w:r>
    </w:p>
    <w:p>
      <w:pPr>
        <w:spacing w:after="60"/>
        <w:ind w:firstLine="567"/>
        <w:jc w:val="both"/>
      </w:pPr>
      <w:r>
        <w:rPr>
          <w:rFonts w:ascii="Arial" w:cs="Arial" w:eastAsia="Arial" w:hAnsi="Arial"/>
          <w:sz w:val="24"/>
          <w:szCs w:val="24"/>
        </w:rPr>
        <w:t xml:space="preserve">С 1996 года в городе Бишкек функционирует Центр жилищных субсидий, который предоставляет семьям субсидии на оплату жилищно-коммунальных услуг. Субсидии предоставляются в случаях, когда оплата жилищно-коммунальных услуг превышает 16% от общего объема расходов семьи. Основными получателями субсидий являются одинокие пенсионеры и ЛОВЗ.</w:t>
      </w:r>
    </w:p>
    <w:p>
      <w:pPr>
        <w:spacing w:after="60"/>
        <w:ind w:firstLine="567"/>
        <w:jc w:val="both"/>
      </w:pPr>
      <w:r>
        <w:rPr>
          <w:rFonts w:ascii="Arial" w:cs="Arial" w:eastAsia="Arial" w:hAnsi="Arial"/>
          <w:sz w:val="24"/>
          <w:szCs w:val="24"/>
        </w:rPr>
        <w:t xml:space="preserve">С повышением тарифов на тепловую и электрическую энергию, горячее водоснабжение в предоставлении жилищных субсидий стали нуждаться не только пенсионеры и ЛОВЗ, но и семьи по случаю утери кормильца, семьи, имеющие детей - ЛОВЗ, другие граждане, имеющие низкий уровень дохода.</w:t>
      </w:r>
    </w:p>
    <w:p>
      <w:pPr>
        <w:spacing w:after="60"/>
        <w:ind w:firstLine="567"/>
        <w:jc w:val="both"/>
      </w:pPr>
      <w:r>
        <w:rPr>
          <w:rFonts w:ascii="Arial" w:cs="Arial" w:eastAsia="Arial" w:hAnsi="Arial"/>
          <w:sz w:val="24"/>
          <w:szCs w:val="24"/>
        </w:rPr>
        <w:t xml:space="preserve">В случае повышения тарифов в данном виде социальной помощи будут нуждаться все большее количество граждан. Опыт города Бишкек по предоставлению жилищных субсидий нуждающимся гражданам показал необходимость совершенствования механизма и его последующего распространения во всех регионах республики.</w:t>
      </w:r>
    </w:p>
    <w:p>
      <w:pPr>
        <w:spacing w:after="60"/>
        <w:ind w:firstLine="567"/>
        <w:jc w:val="both"/>
      </w:pPr>
      <w:r>
        <w:rPr>
          <w:rFonts w:ascii="Arial" w:cs="Arial" w:eastAsia="Arial" w:hAnsi="Arial"/>
          <w:sz w:val="24"/>
          <w:szCs w:val="24"/>
        </w:rPr>
        <w:t xml:space="preserve">Данная мера может стать адекватным механизмом государственной поддержки в условиях повышения тарифов.</w:t>
      </w:r>
    </w:p>
    <w:p>
      <w:pPr>
        <w:spacing w:after="60"/>
        <w:ind w:firstLine="567"/>
        <w:jc w:val="both"/>
      </w:pPr>
      <w:hyperlink w:history="1" r:id="rIdmpgoryd1vsa7btl5jajp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дополнительных мерах государственной поддержки лиц, проживающих в тяжелых, неблагоприятных природно-климатических условиях высокогорья и отдаленных труднодоступных зонах" от 2 апреля 2010 года № 206 жителям высокогорья восстановлена 50% льготная скидка при оплате электрической энергии, предоставляемая на уровне местного самоуправления в рамках оказания дополнительной поддержки лицам, проживающим в условиях высокогорья и отдаленности.</w:t>
      </w:r>
    </w:p>
    <w:p>
      <w:pPr>
        <w:spacing w:after="60"/>
        <w:ind w:firstLine="567"/>
        <w:jc w:val="both"/>
      </w:pPr>
      <w:r>
        <w:rPr>
          <w:rFonts w:ascii="Arial" w:cs="Arial" w:eastAsia="Arial" w:hAnsi="Arial"/>
          <w:sz w:val="24"/>
          <w:szCs w:val="24"/>
        </w:rPr>
        <w:t xml:space="preserve">В 2012 году на поддержку 171 тыс. граждан, включенных в указанную категорию, из республиканского бюджета было направлено 114 млн. сомов. В среднем на одного гражданина выделяется 60 сомов в месяц.</w:t>
      </w:r>
    </w:p>
    <w:p>
      <w:pPr>
        <w:spacing w:after="60"/>
        <w:ind w:firstLine="567"/>
        <w:jc w:val="both"/>
      </w:pPr>
      <w:r>
        <w:rPr>
          <w:rFonts w:ascii="Arial" w:cs="Arial" w:eastAsia="Arial" w:hAnsi="Arial"/>
          <w:sz w:val="24"/>
          <w:szCs w:val="24"/>
        </w:rPr>
        <w:t xml:space="preserve">Данные льготы предоставляются всем жителям высокогорных и отдаленных сел вне зависимости от их уровня дохода. Требует тщательного пересмотра действующий механизм включения в перечень населенных пунктов, расположенных в высокогорье, а также механизм предоставления статуса "житель высокогорья" и соответствующих субсидий со стороны государства.</w:t>
      </w:r>
    </w:p>
    <w:p>
      <w:pPr>
        <w:spacing w:after="60"/>
        <w:ind w:firstLine="567"/>
        <w:jc w:val="both"/>
      </w:pPr>
      <w:r>
        <w:rPr>
          <w:rFonts w:ascii="Arial" w:cs="Arial" w:eastAsia="Arial" w:hAnsi="Arial"/>
          <w:sz w:val="24"/>
          <w:szCs w:val="24"/>
        </w:rPr>
        <w:t xml:space="preserve">Местными государственными администрациями, органами местного самоуправления, а также работодателями независимо от форм собственности для безработных граждан организуются оплачиваемые общественные работы с целью их временного трудоустройства.</w:t>
      </w:r>
    </w:p>
    <w:p>
      <w:pPr>
        <w:spacing w:after="60"/>
        <w:ind w:firstLine="567"/>
        <w:jc w:val="both"/>
      </w:pPr>
      <w:r>
        <w:rPr>
          <w:rFonts w:ascii="Arial" w:cs="Arial" w:eastAsia="Arial" w:hAnsi="Arial"/>
          <w:sz w:val="24"/>
          <w:szCs w:val="24"/>
        </w:rPr>
        <w:t xml:space="preserve">Для участия в оплачиваемых общественных работах заключается срочный трудовой договор сроком до шести месяцев. Срок участия в общественных работах включается в общий трудовой стаж для начисления пенсии. Преимущественным правом участия в оплачиваемых общественных работах пользуются безработные граждане, не получающие пособия по безработице. Средний размер оплаты оплачиваемых общественных работ в 2012 году составил 1500 сомов. Данный инструмент социальной поддержки безработных является адекватным механизмом временного трудоустройства.</w:t>
      </w:r>
    </w:p>
    <w:p>
      <w:pPr>
        <w:spacing w:after="60"/>
        <w:ind w:firstLine="567"/>
        <w:jc w:val="both"/>
      </w:pPr>
      <w:r>
        <w:rPr>
          <w:rFonts w:ascii="Arial" w:cs="Arial" w:eastAsia="Arial" w:hAnsi="Arial"/>
          <w:sz w:val="24"/>
          <w:szCs w:val="24"/>
        </w:rPr>
        <w:t xml:space="preserve">Профессиональная подготовка, переподготовка и повышение квалификации безработных граждан осуществляются по направлению органов государственной службы занятости населения в учебных центрах профессионального образования или в иных учреждениях образования за счет средств республиканского бюджета. В период профессиональной подготовки безработных граждан по направлению органов государственной службы занятости населения им выплачивается стипендия в размере пособия по безработице, увеличенного на 20%.</w:t>
      </w:r>
    </w:p>
    <w:p>
      <w:pPr>
        <w:spacing w:after="60"/>
        <w:ind w:firstLine="567"/>
        <w:jc w:val="both"/>
      </w:pPr>
      <w:r>
        <w:rPr>
          <w:rFonts w:ascii="Arial" w:cs="Arial" w:eastAsia="Arial" w:hAnsi="Arial"/>
          <w:sz w:val="24"/>
          <w:szCs w:val="24"/>
        </w:rPr>
        <w:t xml:space="preserve">Из числа безработных в 2012 году были направлены на профобучение, переобучение 6514 человек, что на 24%, или на 2080 человек меньше, чем в 2011 году. Из числа лиц, направленных на профобучение, более 65% составляет молодежь.</w:t>
      </w:r>
    </w:p>
    <w:p>
      <w:pPr>
        <w:spacing w:after="60"/>
        <w:ind w:firstLine="567"/>
        <w:jc w:val="both"/>
      </w:pPr>
      <w:r>
        <w:rPr>
          <w:rFonts w:ascii="Arial" w:cs="Arial" w:eastAsia="Arial" w:hAnsi="Arial"/>
          <w:sz w:val="24"/>
          <w:szCs w:val="24"/>
        </w:rPr>
        <w:t xml:space="preserve">Низкая вовлеченность трудоспособных граждан из малообеспеченных семей в процесс получения профессиональной подготовки и переподготовки сохраняет тенденцию к их вовлечению в низкооплачиваемый рынок труда.</w:t>
      </w:r>
    </w:p>
    <w:p>
      <w:pPr>
        <w:spacing w:after="60"/>
        <w:ind w:firstLine="567"/>
        <w:jc w:val="both"/>
      </w:pPr>
      <w:r>
        <w:rPr>
          <w:rFonts w:ascii="Arial" w:cs="Arial" w:eastAsia="Arial" w:hAnsi="Arial"/>
          <w:sz w:val="24"/>
          <w:szCs w:val="24"/>
        </w:rPr>
        <w:t xml:space="preserve">В условиях современного рынка труда с высоким уровнем изменчивости структуры занятости требуются дополнительные исследования для решения вопроса оптимальной организации трудоустройства безработных граждан. Необходимо совершенствование мер обеспечения занятости, профессиональной подготовки и переподготовки, а также других мер социальной защиты безработных.</w:t>
      </w:r>
    </w:p>
    <w:p>
      <w:pPr>
        <w:spacing w:after="60"/>
        <w:ind w:firstLine="567"/>
        <w:jc w:val="both"/>
      </w:pPr>
      <w:r>
        <w:rPr>
          <w:rFonts w:ascii="Arial" w:cs="Arial" w:eastAsia="Arial" w:hAnsi="Arial"/>
          <w:sz w:val="24"/>
          <w:szCs w:val="24"/>
        </w:rPr>
        <w:t xml:space="preserve">В соответствии с </w:t>
      </w:r>
      <w:hyperlink w:history="1" r:id="rIdyyvrghlfao4vbu1nhvvf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содействии занятости населения" гражданам, зарегистрированным в качестве безработных и желающим заниматься предпринимательской деятельностью, органы государственной службы занятости населения оказывают консультационные услуги и финансовую поддержку для организации предпринимательской деятельности.</w:t>
      </w:r>
    </w:p>
    <w:p>
      <w:pPr>
        <w:spacing w:after="60"/>
        <w:ind w:firstLine="567"/>
        <w:jc w:val="both"/>
      </w:pPr>
      <w:r>
        <w:rPr>
          <w:rFonts w:ascii="Arial" w:cs="Arial" w:eastAsia="Arial" w:hAnsi="Arial"/>
          <w:sz w:val="24"/>
          <w:szCs w:val="24"/>
        </w:rPr>
        <w:t xml:space="preserve">В целях стимулирования и развития предпринимательской деятельности агентствами микрокредитования при Министерстве труда, миграции и молодежи Кыргызской Республики, безработным гражданам выдаются микрокредиты. В среднем на одного безработного выделяется от 10 до 30 тыс. сомов сроком на 1 год под 15% годовых. Однако в данных кредитах наиболее нуждается сельское население, где высокий уровень безработицы. Высокими остаются процентные ставки, имеются трудности в получении кредитов социально уязвимыми группами населения.</w:t>
      </w:r>
    </w:p>
    <w:p>
      <w:pPr>
        <w:spacing w:after="60"/>
        <w:ind w:firstLine="567"/>
        <w:jc w:val="both"/>
      </w:pPr>
      <w:r>
        <w:rPr>
          <w:rFonts w:ascii="Arial" w:cs="Arial" w:eastAsia="Arial" w:hAnsi="Arial"/>
          <w:sz w:val="24"/>
          <w:szCs w:val="24"/>
        </w:rPr>
        <w:t xml:space="preserve">Опыт некоторых стран показывает, что микрокредитование на небольшую сумму под низкие проценты решает вопросы адресной поддержки бедных слоев населения, избавляет от иждивенческого поведения, мотивирует и стимулирует развитие предпринимательской активности.</w:t>
      </w:r>
    </w:p>
    <w:p>
      <w:pPr>
        <w:spacing w:after="60"/>
        <w:ind w:firstLine="567"/>
        <w:jc w:val="both"/>
      </w:pPr>
      <w:r>
        <w:rPr>
          <w:rFonts w:ascii="Arial" w:cs="Arial" w:eastAsia="Arial" w:hAnsi="Arial"/>
          <w:sz w:val="24"/>
          <w:szCs w:val="24"/>
        </w:rPr>
        <w:t xml:space="preserve">Механизм предоставления безработным гражданам микрокредитов требует пересмотра. Необходимо снизить процентные ставки и упростить механизм получения данных кредитов.</w:t>
      </w:r>
    </w:p>
    <w:p>
      <w:pPr>
        <w:spacing w:after="60"/>
        <w:ind w:firstLine="567"/>
        <w:jc w:val="both"/>
      </w:pPr>
      <w:r>
        <w:rPr>
          <w:rFonts w:ascii="Arial" w:cs="Arial" w:eastAsia="Arial" w:hAnsi="Arial"/>
          <w:sz w:val="24"/>
          <w:szCs w:val="24"/>
        </w:rPr>
        <w:t xml:space="preserve">Исходя из анализа ситуации, приведенного выше, на период 2015-2017 годы определена цель: совершенствование политики по дополнительным мерам социальной защиты.</w:t>
      </w:r>
    </w:p>
    <w:p>
      <w:pPr>
        <w:spacing w:after="60"/>
        <w:ind w:firstLine="567"/>
        <w:jc w:val="both"/>
      </w:pPr>
      <w:r>
        <w:rPr>
          <w:rFonts w:ascii="Arial" w:cs="Arial" w:eastAsia="Arial" w:hAnsi="Arial"/>
          <w:sz w:val="24"/>
          <w:szCs w:val="24"/>
        </w:rPr>
        <w:t xml:space="preserve">42. Для достижения данной цели необходимо реализовать следующие задачи:</w:t>
      </w:r>
    </w:p>
    <w:p>
      <w:pPr>
        <w:spacing w:after="60"/>
        <w:ind w:firstLine="567"/>
        <w:jc w:val="both"/>
      </w:pPr>
      <w:r>
        <w:rPr>
          <w:rFonts w:ascii="Arial" w:cs="Arial" w:eastAsia="Arial" w:hAnsi="Arial"/>
          <w:sz w:val="24"/>
          <w:szCs w:val="24"/>
        </w:rPr>
        <w:t xml:space="preserve">- совершенствование нормативных правовых актов, регулирующих назначение пособий по беременности и родам;</w:t>
      </w:r>
    </w:p>
    <w:p>
      <w:pPr>
        <w:spacing w:after="60"/>
        <w:ind w:firstLine="567"/>
        <w:jc w:val="both"/>
      </w:pPr>
      <w:r>
        <w:rPr>
          <w:rFonts w:ascii="Arial" w:cs="Arial" w:eastAsia="Arial" w:hAnsi="Arial"/>
          <w:sz w:val="24"/>
          <w:szCs w:val="24"/>
        </w:rPr>
        <w:t xml:space="preserve">- совершенствование нормативных правовых актов, регулирующих назначение и выплату ритуального пособия;</w:t>
      </w:r>
    </w:p>
    <w:p>
      <w:pPr>
        <w:spacing w:after="60"/>
        <w:ind w:firstLine="567"/>
        <w:jc w:val="both"/>
      </w:pPr>
      <w:r>
        <w:rPr>
          <w:rFonts w:ascii="Arial" w:cs="Arial" w:eastAsia="Arial" w:hAnsi="Arial"/>
          <w:sz w:val="24"/>
          <w:szCs w:val="24"/>
        </w:rPr>
        <w:t xml:space="preserve">- совершенствование механизма предоставления жилищных субсидий в условиях повышения тарифов;</w:t>
      </w:r>
    </w:p>
    <w:p>
      <w:pPr>
        <w:spacing w:after="60"/>
        <w:ind w:firstLine="567"/>
        <w:jc w:val="both"/>
      </w:pPr>
      <w:r>
        <w:rPr>
          <w:rFonts w:ascii="Arial" w:cs="Arial" w:eastAsia="Arial" w:hAnsi="Arial"/>
          <w:sz w:val="24"/>
          <w:szCs w:val="24"/>
        </w:rPr>
        <w:t xml:space="preserve">- организация профессионального обучения, повышения квалификации и переобучения безработных граждан;</w:t>
      </w:r>
    </w:p>
    <w:p>
      <w:pPr>
        <w:spacing w:after="60"/>
        <w:ind w:firstLine="567"/>
        <w:jc w:val="both"/>
      </w:pPr>
      <w:r>
        <w:rPr>
          <w:rFonts w:ascii="Arial" w:cs="Arial" w:eastAsia="Arial" w:hAnsi="Arial"/>
          <w:sz w:val="24"/>
          <w:szCs w:val="24"/>
        </w:rPr>
        <w:t xml:space="preserve">- стимулирование организации оплачиваемых общественных работ в сферах, имеющих высокую социальную значимость для страны;</w:t>
      </w:r>
    </w:p>
    <w:p>
      <w:pPr>
        <w:spacing w:after="60"/>
        <w:ind w:firstLine="567"/>
        <w:jc w:val="both"/>
      </w:pPr>
      <w:r>
        <w:rPr>
          <w:rFonts w:ascii="Arial" w:cs="Arial" w:eastAsia="Arial" w:hAnsi="Arial"/>
          <w:sz w:val="24"/>
          <w:szCs w:val="24"/>
        </w:rPr>
        <w:t xml:space="preserve">- содействие развитию кооперативного кредитования в сельских регионах как инструмента обеспечения доступа к финансовым ресурсам;</w:t>
      </w:r>
    </w:p>
    <w:p>
      <w:pPr>
        <w:spacing w:after="60"/>
        <w:ind w:firstLine="567"/>
        <w:jc w:val="both"/>
      </w:pPr>
      <w:r>
        <w:rPr>
          <w:rFonts w:ascii="Arial" w:cs="Arial" w:eastAsia="Arial" w:hAnsi="Arial"/>
          <w:sz w:val="24"/>
          <w:szCs w:val="24"/>
        </w:rPr>
        <w:t xml:space="preserve">- институционализация системы социального микрокредитования;</w:t>
      </w:r>
    </w:p>
    <w:p>
      <w:pPr>
        <w:spacing w:after="60"/>
        <w:ind w:firstLine="567"/>
        <w:jc w:val="both"/>
      </w:pPr>
      <w:r>
        <w:rPr>
          <w:rFonts w:ascii="Arial" w:cs="Arial" w:eastAsia="Arial" w:hAnsi="Arial"/>
          <w:sz w:val="24"/>
          <w:szCs w:val="24"/>
        </w:rPr>
        <w:t xml:space="preserve">- определение минимальных норм социальной защиты через проведение национального диалога, основанного на оценке состояния социальной защиты населения.</w:t>
      </w:r>
    </w:p>
    <w:p>
      <w:pPr>
        <w:spacing w:after="60"/>
        <w:ind w:firstLine="567"/>
        <w:jc w:val="both"/>
      </w:pPr>
      <w:r>
        <w:rPr>
          <w:rFonts w:ascii="Arial" w:cs="Arial" w:eastAsia="Arial" w:hAnsi="Arial"/>
          <w:i/>
          <w:iCs/>
          <w:sz w:val="24"/>
          <w:szCs w:val="24"/>
        </w:rPr>
        <w:t xml:space="preserve">(Абзац 10 утратил силу в соответствии с </w:t>
      </w:r>
      <w:hyperlink w:history="1" r:id="rIde7cnm2nfd_lsrtizpsfy8">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qorak5gx1vxwpraw6ylbx">
        <w:r>
          <w:rPr>
            <w:rFonts w:ascii="Arial" w:cs="Arial" w:eastAsia="Arial" w:hAnsi="Arial"/>
            <w:i/>
            <w:iCs/>
            <w:color w:val="1D4ED8"/>
            <w:sz w:val="24"/>
            <w:szCs w:val="24"/>
            <w:u w:val="single"/>
          </w:rPr>
          <w:t xml:space="preserve">14 октября 2016 года № 552)</w:t>
        </w:r>
      </w:hyperlink>
    </w:p>
    <w:p>
      <w:pPr>
        <w:spacing w:after="120"/>
        <w:jc w:val="left"/>
      </w:pPr>
      <w:r>
        <w:rPr>
          <w:rFonts w:ascii="Arial" w:cs="Arial" w:eastAsia="Arial" w:hAnsi="Arial"/>
          <w:sz w:val="24"/>
          <w:szCs w:val="24"/>
        </w:rPr>
        <w:t xml:space="preserve"/>
      </w:r>
    </w:p>
    <w:p>
      <w:pPr>
        <w:spacing w:after="200" w:before="200"/>
        <w:jc w:val="center"/>
      </w:pPr>
      <w:r>
        <w:rPr>
          <w:rFonts w:ascii="Arial" w:cs="Arial" w:eastAsia="Arial" w:hAnsi="Arial"/>
          <w:b/>
          <w:bCs/>
          <w:sz w:val="24"/>
          <w:szCs w:val="24"/>
        </w:rPr>
        <w:t xml:space="preserve">9. Структурные и институциональные аспекты реализации Программы на 2015-2017 годы</w:t>
      </w:r>
    </w:p>
    <w:p>
      <w:pPr>
        <w:spacing w:after="60"/>
        <w:ind w:firstLine="567"/>
        <w:jc w:val="both"/>
      </w:pPr>
      <w:r>
        <w:rPr>
          <w:rFonts w:ascii="Arial" w:cs="Arial" w:eastAsia="Arial" w:hAnsi="Arial"/>
          <w:sz w:val="24"/>
          <w:szCs w:val="24"/>
        </w:rPr>
        <w:t xml:space="preserve">43. </w:t>
      </w:r>
      <w:hyperlink w:history="1" r:id="rIdw3nijn_5l5udgvuta165d">
        <w:r>
          <w:rPr>
            <w:rFonts w:ascii="Arial" w:cs="Arial" w:eastAsia="Arial" w:hAnsi="Arial"/>
            <w:color w:val="1D4ED8"/>
            <w:sz w:val="24"/>
            <w:szCs w:val="24"/>
            <w:u w:val="single"/>
          </w:rPr>
          <w:t xml:space="preserve">Распоряжением</w:t>
        </w:r>
      </w:hyperlink>
      <w:r>
        <w:rPr>
          <w:rFonts w:ascii="Arial" w:cs="Arial" w:eastAsia="Arial" w:hAnsi="Arial"/>
          <w:sz w:val="24"/>
          <w:szCs w:val="24"/>
        </w:rPr>
        <w:t xml:space="preserve"> Президента Кыргызской Республики от 12 марта 2013 года № 36 утвержден </w:t>
      </w:r>
      <w:hyperlink w:history="1" r:id="rIdjfuhjrzstwtmwdwbh9ksu">
        <w:r>
          <w:rPr>
            <w:rFonts w:ascii="Arial" w:cs="Arial" w:eastAsia="Arial" w:hAnsi="Arial"/>
            <w:color w:val="1D4ED8"/>
            <w:sz w:val="24"/>
            <w:szCs w:val="24"/>
            <w:u w:val="single"/>
          </w:rPr>
          <w:t xml:space="preserve">План действий</w:t>
        </w:r>
      </w:hyperlink>
      <w:r>
        <w:rPr>
          <w:rFonts w:ascii="Arial" w:cs="Arial" w:eastAsia="Arial" w:hAnsi="Arial"/>
          <w:sz w:val="24"/>
          <w:szCs w:val="24"/>
        </w:rPr>
        <w:t xml:space="preserve"> на 2013-2014 годы по реализации Концепции модернизации государственной службы(5). Пунктом 16 указанного </w:t>
      </w:r>
      <w:hyperlink w:history="1" r:id="rIdqdbj6lr0hgc3nmcbgnrw-">
        <w:r>
          <w:rPr>
            <w:rFonts w:ascii="Arial" w:cs="Arial" w:eastAsia="Arial" w:hAnsi="Arial"/>
            <w:color w:val="1D4ED8"/>
            <w:sz w:val="24"/>
            <w:szCs w:val="24"/>
            <w:u w:val="single"/>
          </w:rPr>
          <w:t xml:space="preserve">Плана действий</w:t>
        </w:r>
      </w:hyperlink>
      <w:r>
        <w:rPr>
          <w:rFonts w:ascii="Arial" w:cs="Arial" w:eastAsia="Arial" w:hAnsi="Arial"/>
          <w:sz w:val="24"/>
          <w:szCs w:val="24"/>
        </w:rPr>
        <w:t xml:space="preserve"> предусмотрена разработка стратегических планов государственных органов (в соответствии с Национальной стратегией устойчивого развития Кыргызской Республики на период 2013-2017 годы).</w:t>
      </w:r>
    </w:p>
    <w:p>
      <w:pPr>
        <w:spacing w:after="60"/>
        <w:ind w:firstLine="567"/>
        <w:jc w:val="both"/>
      </w:pPr>
      <w:r>
        <w:rPr>
          <w:rFonts w:ascii="Arial" w:cs="Arial" w:eastAsia="Arial" w:hAnsi="Arial"/>
          <w:sz w:val="24"/>
          <w:szCs w:val="24"/>
        </w:rPr>
        <w:t xml:space="preserve">В рамках Программы поддержки эффективного государственного управления (ЮСАИД) в апреле-июне 2014 года проведен функциональный анализ (институциональная оценка) деятельности, разработан и утвержден стратегический план институционального развития Министерства социального развития Кыргызской Республики на 2015-2017 годы.</w:t>
      </w:r>
    </w:p>
    <w:p>
      <w:pPr>
        <w:spacing w:after="60"/>
        <w:ind w:firstLine="567"/>
        <w:jc w:val="both"/>
      </w:pPr>
      <w:r>
        <w:rPr>
          <w:rFonts w:ascii="Arial" w:cs="Arial" w:eastAsia="Arial" w:hAnsi="Arial"/>
          <w:sz w:val="24"/>
          <w:szCs w:val="24"/>
        </w:rPr>
        <w:t xml:space="preserve">Определены следующие стратегические цели по приоритетам на трехлетнюю перспективу:</w:t>
      </w:r>
    </w:p>
    <w:p>
      <w:pPr>
        <w:spacing w:after="60"/>
        <w:ind w:firstLine="567"/>
        <w:jc w:val="both"/>
      </w:pPr>
      <w:r>
        <w:rPr>
          <w:rFonts w:ascii="Arial" w:cs="Arial" w:eastAsia="Arial" w:hAnsi="Arial"/>
          <w:sz w:val="24"/>
          <w:szCs w:val="24"/>
        </w:rPr>
        <w:t xml:space="preserve">- повысить потенциал кадровых ресурсов, обеспечив их соответствие квалификационным и функциональным требованиям для каждой должности;</w:t>
      </w:r>
    </w:p>
    <w:p>
      <w:pPr>
        <w:spacing w:after="60"/>
        <w:ind w:firstLine="567"/>
        <w:jc w:val="both"/>
      </w:pPr>
      <w:r>
        <w:rPr>
          <w:rFonts w:ascii="Arial" w:cs="Arial" w:eastAsia="Arial" w:hAnsi="Arial"/>
          <w:sz w:val="24"/>
          <w:szCs w:val="24"/>
        </w:rPr>
        <w:t xml:space="preserve">- обеспечить эффективность организационных и рабочих процессов;</w:t>
      </w:r>
    </w:p>
    <w:p>
      <w:pPr>
        <w:spacing w:after="60"/>
        <w:ind w:firstLine="567"/>
        <w:jc w:val="both"/>
      </w:pPr>
      <w:r>
        <w:rPr>
          <w:rFonts w:ascii="Arial" w:cs="Arial" w:eastAsia="Arial" w:hAnsi="Arial"/>
          <w:sz w:val="24"/>
          <w:szCs w:val="24"/>
        </w:rPr>
        <w:t xml:space="preserve">- обеспечить эффективность, достаточность и прозрачность управления государственными финансами;</w:t>
      </w:r>
    </w:p>
    <w:p>
      <w:pPr>
        <w:spacing w:after="60"/>
        <w:ind w:firstLine="567"/>
        <w:jc w:val="both"/>
      </w:pPr>
      <w:r>
        <w:rPr>
          <w:rFonts w:ascii="Arial" w:cs="Arial" w:eastAsia="Arial" w:hAnsi="Arial"/>
          <w:sz w:val="24"/>
          <w:szCs w:val="24"/>
        </w:rPr>
        <w:t xml:space="preserve">- создать эффективные коммуникационные механизмы (внутренние и внешние).</w:t>
      </w:r>
    </w:p>
    <w:p>
      <w:pPr>
        <w:spacing w:after="60"/>
        <w:ind w:firstLine="567"/>
        <w:jc w:val="both"/>
      </w:pPr>
      <w:r>
        <w:rPr>
          <w:rFonts w:ascii="Arial" w:cs="Arial" w:eastAsia="Arial" w:hAnsi="Arial"/>
          <w:sz w:val="24"/>
          <w:szCs w:val="24"/>
        </w:rPr>
        <w:t xml:space="preserve">44. Для достижения стратегических целей необходимо реализовать следующие основные задачи:</w:t>
      </w:r>
    </w:p>
    <w:p>
      <w:pPr>
        <w:spacing w:after="60"/>
        <w:ind w:firstLine="567"/>
        <w:jc w:val="both"/>
      </w:pPr>
      <w:r>
        <w:rPr>
          <w:rFonts w:ascii="Arial" w:cs="Arial" w:eastAsia="Arial" w:hAnsi="Arial"/>
          <w:sz w:val="24"/>
          <w:szCs w:val="24"/>
        </w:rPr>
        <w:t xml:space="preserve">- создание качественной системы управления человеческими ресурсами;</w:t>
      </w:r>
    </w:p>
    <w:p>
      <w:pPr>
        <w:spacing w:after="60"/>
        <w:ind w:firstLine="567"/>
        <w:jc w:val="both"/>
      </w:pPr>
      <w:r>
        <w:rPr>
          <w:rFonts w:ascii="Arial" w:cs="Arial" w:eastAsia="Arial" w:hAnsi="Arial"/>
          <w:sz w:val="24"/>
          <w:szCs w:val="24"/>
        </w:rPr>
        <w:t xml:space="preserve">- разработка и внедрение системы обучения сотрудников;</w:t>
      </w:r>
    </w:p>
    <w:p>
      <w:pPr>
        <w:spacing w:after="60"/>
        <w:ind w:firstLine="567"/>
        <w:jc w:val="both"/>
      </w:pPr>
      <w:r>
        <w:rPr>
          <w:rFonts w:ascii="Arial" w:cs="Arial" w:eastAsia="Arial" w:hAnsi="Arial"/>
          <w:sz w:val="24"/>
          <w:szCs w:val="24"/>
        </w:rPr>
        <w:t xml:space="preserve">- создание и внедрение принципа стратегического управления (планирования и анализа), мониторинга и оценки;</w:t>
      </w:r>
    </w:p>
    <w:p>
      <w:pPr>
        <w:spacing w:after="60"/>
        <w:ind w:firstLine="567"/>
        <w:jc w:val="both"/>
      </w:pPr>
      <w:r>
        <w:rPr>
          <w:rFonts w:ascii="Arial" w:cs="Arial" w:eastAsia="Arial" w:hAnsi="Arial"/>
          <w:sz w:val="24"/>
          <w:szCs w:val="24"/>
        </w:rPr>
        <w:t xml:space="preserve">- улучшение межведомственного информационного обмена в сфере социальной защиты.</w:t>
      </w:r>
    </w:p>
    <w:p>
      <w:pPr>
        <w:spacing w:after="60"/>
        <w:ind w:firstLine="567"/>
        <w:jc w:val="both"/>
      </w:pPr>
      <w:r>
        <w:rPr>
          <w:rFonts w:ascii="Arial" w:cs="Arial" w:eastAsia="Arial" w:hAnsi="Arial"/>
          <w:i/>
          <w:iCs/>
          <w:sz w:val="24"/>
          <w:szCs w:val="24"/>
        </w:rPr>
        <w:t xml:space="preserve">(Абзац 6 утратил силу в соответствии с </w:t>
      </w:r>
      <w:hyperlink w:history="1" r:id="rIdb4oqswmpbdittsbztnvym">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14 октября 2016 года № 552)</w:t>
      </w:r>
    </w:p>
    <w:p>
      <w:pPr>
        <w:spacing w:after="60"/>
        <w:ind w:firstLine="567"/>
        <w:jc w:val="both"/>
      </w:pPr>
      <w:r>
        <w:rPr>
          <w:rFonts w:ascii="Arial" w:cs="Arial" w:eastAsia="Arial" w:hAnsi="Arial"/>
          <w:sz w:val="24"/>
          <w:szCs w:val="24"/>
        </w:rPr>
        <w:t xml:space="preserve">Координация мероприятий по выполнению вышеназванного Указа Президента Кыргызской Республики возложена на Государственную кадровую службу Кыргызской Республики.</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z7igevolb23g4vauj7la-">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10. Ожидаемые результаты реализации Программы на 2015-2017 годы</w:t>
      </w:r>
    </w:p>
    <w:p>
      <w:pPr>
        <w:spacing w:after="60"/>
        <w:ind w:firstLine="567"/>
        <w:jc w:val="both"/>
      </w:pPr>
      <w:r>
        <w:rPr>
          <w:rFonts w:ascii="Arial" w:cs="Arial" w:eastAsia="Arial" w:hAnsi="Arial"/>
          <w:sz w:val="24"/>
          <w:szCs w:val="24"/>
        </w:rPr>
        <w:t xml:space="preserve">45. Реализация Программы на 2015-2017 годы позволит продолжить формирование государственной системы социальной защиты уязвимых категорий населения Кыргызской Республики, также будут достигнуты следующие результаты:</w:t>
      </w:r>
    </w:p>
    <w:p>
      <w:pPr>
        <w:spacing w:after="60"/>
        <w:ind w:firstLine="567"/>
        <w:jc w:val="both"/>
      </w:pPr>
      <w:r>
        <w:rPr>
          <w:rFonts w:ascii="Arial" w:cs="Arial" w:eastAsia="Arial" w:hAnsi="Arial"/>
          <w:sz w:val="24"/>
          <w:szCs w:val="24"/>
        </w:rPr>
        <w:t xml:space="preserve">- уровень ГМД для детей из малообеспеченных семей повысится не менее чем на 30% к 2018 году;</w:t>
      </w:r>
    </w:p>
    <w:p>
      <w:pPr>
        <w:spacing w:after="60"/>
        <w:ind w:firstLine="567"/>
        <w:jc w:val="both"/>
      </w:pPr>
      <w:r>
        <w:rPr>
          <w:rFonts w:ascii="Arial" w:cs="Arial" w:eastAsia="Arial" w:hAnsi="Arial"/>
          <w:sz w:val="24"/>
          <w:szCs w:val="24"/>
        </w:rPr>
        <w:t xml:space="preserve">- улучшена адресность ЕПМС;</w:t>
      </w:r>
    </w:p>
    <w:p>
      <w:pPr>
        <w:spacing w:after="60"/>
        <w:ind w:firstLine="567"/>
        <w:jc w:val="both"/>
      </w:pPr>
      <w:r>
        <w:rPr>
          <w:rFonts w:ascii="Arial" w:cs="Arial" w:eastAsia="Arial" w:hAnsi="Arial"/>
          <w:sz w:val="24"/>
          <w:szCs w:val="24"/>
        </w:rPr>
        <w:t xml:space="preserve">- внедрены государственные стандарты оказания социальных услуг для семей и детей, находящихся в трудной жизненной ситуации, ЛОВЗ и пожилых граждан;</w:t>
      </w:r>
    </w:p>
    <w:p>
      <w:pPr>
        <w:spacing w:after="60"/>
        <w:ind w:firstLine="567"/>
        <w:jc w:val="both"/>
      </w:pPr>
      <w:r>
        <w:rPr>
          <w:rFonts w:ascii="Arial" w:cs="Arial" w:eastAsia="Arial" w:hAnsi="Arial"/>
          <w:sz w:val="24"/>
          <w:szCs w:val="24"/>
        </w:rPr>
        <w:t xml:space="preserve">- снизится число детей, находящихся в детских учреждениях интернатного типа, и как следствие, снижение числа данных учреждений;</w:t>
      </w:r>
    </w:p>
    <w:p>
      <w:pPr>
        <w:spacing w:after="60"/>
        <w:ind w:firstLine="567"/>
        <w:jc w:val="both"/>
      </w:pPr>
      <w:r>
        <w:rPr>
          <w:rFonts w:ascii="Arial" w:cs="Arial" w:eastAsia="Arial" w:hAnsi="Arial"/>
          <w:sz w:val="24"/>
          <w:szCs w:val="24"/>
        </w:rPr>
        <w:t xml:space="preserve">- не менее 80% детей, оставшихся без попечения родителей, охвачены семейными формами устройства;</w:t>
      </w:r>
    </w:p>
    <w:p>
      <w:pPr>
        <w:spacing w:after="60"/>
        <w:ind w:firstLine="567"/>
        <w:jc w:val="both"/>
      </w:pPr>
      <w:r>
        <w:rPr>
          <w:rFonts w:ascii="Arial" w:cs="Arial" w:eastAsia="Arial" w:hAnsi="Arial"/>
          <w:sz w:val="24"/>
          <w:szCs w:val="24"/>
        </w:rPr>
        <w:t xml:space="preserve">- созданы условия для беспрепятственного доступа ЛОВЗ к объектам социальной инфраструктуры и транспорта;</w:t>
      </w:r>
    </w:p>
    <w:p>
      <w:pPr>
        <w:spacing w:after="60"/>
        <w:ind w:firstLine="567"/>
        <w:jc w:val="both"/>
      </w:pPr>
      <w:r>
        <w:rPr>
          <w:rFonts w:ascii="Arial" w:cs="Arial" w:eastAsia="Arial" w:hAnsi="Arial"/>
          <w:sz w:val="24"/>
          <w:szCs w:val="24"/>
        </w:rPr>
        <w:t xml:space="preserve">- деятельность службы МСЭ социализирована и адаптирована к ЛОВЗ согласно Международной классификации функционирования, ограничений жизнедеятельности и здоровья Всемирной организации здравоохранения;</w:t>
      </w:r>
    </w:p>
    <w:p>
      <w:pPr>
        <w:spacing w:after="60"/>
        <w:ind w:firstLine="567"/>
        <w:jc w:val="both"/>
      </w:pPr>
      <w:r>
        <w:rPr>
          <w:rFonts w:ascii="Arial" w:cs="Arial" w:eastAsia="Arial" w:hAnsi="Arial"/>
          <w:sz w:val="24"/>
          <w:szCs w:val="24"/>
        </w:rPr>
        <w:t xml:space="preserve">- доля пенсионеров, получающих пенсии ниже уровня прожиточного минимума пенсионера, сокращена до 57,6% к 2018 году;</w:t>
      </w:r>
    </w:p>
    <w:p>
      <w:pPr>
        <w:spacing w:after="60"/>
        <w:ind w:firstLine="567"/>
        <w:jc w:val="both"/>
      </w:pPr>
      <w:r>
        <w:rPr>
          <w:rFonts w:ascii="Arial" w:cs="Arial" w:eastAsia="Arial" w:hAnsi="Arial"/>
          <w:sz w:val="24"/>
          <w:szCs w:val="24"/>
        </w:rPr>
        <w:t xml:space="preserve">- расширен перечень социальных услуг, оказываемых некоммерческими организациями;</w:t>
      </w:r>
    </w:p>
    <w:p>
      <w:pPr>
        <w:spacing w:after="60"/>
        <w:ind w:firstLine="567"/>
        <w:jc w:val="both"/>
      </w:pPr>
      <w:r>
        <w:rPr>
          <w:rFonts w:ascii="Arial" w:cs="Arial" w:eastAsia="Arial" w:hAnsi="Arial"/>
          <w:sz w:val="24"/>
          <w:szCs w:val="24"/>
        </w:rPr>
        <w:t xml:space="preserve">- определены потребности лиц пожилого возраста, ЛОВЗ, семей и детей, находящихся в трудной жизненной ситуации, в социальных услугах.</w:t>
      </w:r>
    </w:p>
    <w:p>
      <w:pPr>
        <w:spacing w:after="60"/>
        <w:ind w:firstLine="567"/>
        <w:jc w:val="both"/>
      </w:pPr>
      <w:r>
        <w:rPr>
          <w:rFonts w:ascii="Arial" w:cs="Arial" w:eastAsia="Arial" w:hAnsi="Arial"/>
          <w:sz w:val="24"/>
          <w:szCs w:val="24"/>
        </w:rPr>
        <w:t xml:space="preserve">Конкретные меры и действия, осуществляемые для решения поставленных задач Программы, приведены в Плане мероприятий.</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uu-uzohllkwfkzqojqmlu">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11. Возможности, риски и угрозы реализации Программы на 2015-2017 годы</w:t>
      </w:r>
    </w:p>
    <w:p>
      <w:pPr>
        <w:spacing w:after="60"/>
        <w:ind w:firstLine="567"/>
        <w:jc w:val="both"/>
      </w:pPr>
      <w:r>
        <w:rPr>
          <w:rFonts w:ascii="Arial" w:cs="Arial" w:eastAsia="Arial" w:hAnsi="Arial"/>
          <w:sz w:val="24"/>
          <w:szCs w:val="24"/>
        </w:rPr>
        <w:t xml:space="preserve">46. Позитивными факторами для реализации Программы на 2015-2017 годы является совершенствование законодательства в сфере социальной защиты населения, активное участие некоммерческих организаций в оказании социальных услуг на местном уровне. Значимым фактором являются понимание важности доступа и развития социальных услуг для населения, повышения эффективности взаимодействия и координации между государственными органами, неправительственным сектором и международными организациями.</w:t>
      </w:r>
    </w:p>
    <w:p>
      <w:pPr>
        <w:spacing w:after="60"/>
        <w:ind w:firstLine="567"/>
        <w:jc w:val="both"/>
      </w:pPr>
      <w:r>
        <w:rPr>
          <w:rFonts w:ascii="Arial" w:cs="Arial" w:eastAsia="Arial" w:hAnsi="Arial"/>
          <w:sz w:val="24"/>
          <w:szCs w:val="24"/>
        </w:rPr>
        <w:t xml:space="preserve">Развивающийся потенциал гражданского общества, активно использующего международный опыт и инновационные подходы в сфере социальной защиты, также является позитивным фактором для реализации Программы на 2015-2017 годы.</w:t>
      </w:r>
    </w:p>
    <w:p>
      <w:pPr>
        <w:spacing w:after="60"/>
        <w:ind w:firstLine="567"/>
        <w:jc w:val="both"/>
      </w:pPr>
      <w:r>
        <w:rPr>
          <w:rFonts w:ascii="Arial" w:cs="Arial" w:eastAsia="Arial" w:hAnsi="Arial"/>
          <w:sz w:val="24"/>
          <w:szCs w:val="24"/>
        </w:rPr>
        <w:t xml:space="preserve">К положительным аспектам относятся также успешное сотрудничество и возможность дальнейшей технической поддержки со стороны международных институтов, с помощью которых возможно улучшить систему социальной защиты, используя международный опыт.</w:t>
      </w:r>
    </w:p>
    <w:p>
      <w:pPr>
        <w:spacing w:after="60"/>
        <w:ind w:firstLine="567"/>
        <w:jc w:val="both"/>
      </w:pPr>
      <w:r>
        <w:rPr>
          <w:rFonts w:ascii="Arial" w:cs="Arial" w:eastAsia="Arial" w:hAnsi="Arial"/>
          <w:sz w:val="24"/>
          <w:szCs w:val="24"/>
        </w:rPr>
        <w:t xml:space="preserve">Вместе с тем, наряду с положительными предпосылками, существуют факторы, которые могут препятствовать реализации Программы на 2015-2017 годы. К ним относятся: нехватка финансовых средств в бюджете республики, недостаточный уровень кадрового потенциала государственных органов и органов местного самоуправления, отток и частая сменяемость кадров.</w:t>
      </w:r>
    </w:p>
    <w:p>
      <w:pPr>
        <w:spacing w:after="200" w:before="200"/>
        <w:jc w:val="center"/>
      </w:pPr>
      <w:r>
        <w:rPr>
          <w:rFonts w:ascii="Arial" w:cs="Arial" w:eastAsia="Arial" w:hAnsi="Arial"/>
          <w:b/>
          <w:bCs/>
          <w:sz w:val="24"/>
          <w:szCs w:val="24"/>
        </w:rPr>
        <w:t xml:space="preserve">12. Финансовая оценка потребностей в ресурсах</w:t>
      </w:r>
    </w:p>
    <w:p>
      <w:pPr>
        <w:spacing w:after="60"/>
        <w:ind w:firstLine="567"/>
        <w:jc w:val="both"/>
      </w:pPr>
      <w:r>
        <w:rPr>
          <w:rFonts w:ascii="Arial" w:cs="Arial" w:eastAsia="Arial" w:hAnsi="Arial"/>
          <w:sz w:val="24"/>
          <w:szCs w:val="24"/>
        </w:rPr>
        <w:t xml:space="preserve">47. Бюджет Министерства социального развития Кыргызской Республики на 2015 год сформирован в сумме 7369,6 млн. сомов.</w:t>
      </w:r>
    </w:p>
    <w:p>
      <w:pPr>
        <w:spacing w:after="60"/>
        <w:ind w:firstLine="567"/>
        <w:jc w:val="both"/>
      </w:pPr>
      <w:r>
        <w:rPr>
          <w:rFonts w:ascii="Arial" w:cs="Arial" w:eastAsia="Arial" w:hAnsi="Arial"/>
          <w:sz w:val="24"/>
          <w:szCs w:val="24"/>
        </w:rPr>
        <w:t xml:space="preserve">На 2016 год проект бюджета Министерства социального развития Кыргызской Республики сформирован на основании контрольных цифр в сумме 7528,7 млн. сомов.</w:t>
      </w:r>
    </w:p>
    <w:p>
      <w:pPr>
        <w:spacing w:after="60"/>
        <w:ind w:firstLine="567"/>
        <w:jc w:val="both"/>
      </w:pPr>
      <w:r>
        <w:rPr>
          <w:rFonts w:ascii="Arial" w:cs="Arial" w:eastAsia="Arial" w:hAnsi="Arial"/>
          <w:sz w:val="24"/>
          <w:szCs w:val="24"/>
        </w:rPr>
        <w:t xml:space="preserve">Для осуществления деятельности Министерства социального развития Кыргызской Республики в 2017 году проект бюджета сформирован в сумме 7809,3 млн. сомов на основании контрольных цифр.</w:t>
      </w:r>
    </w:p>
    <w:p>
      <w:pPr>
        <w:spacing w:after="60"/>
        <w:ind w:firstLine="567"/>
        <w:jc w:val="both"/>
      </w:pPr>
      <w:r>
        <w:rPr>
          <w:rFonts w:ascii="Arial" w:cs="Arial" w:eastAsia="Arial" w:hAnsi="Arial"/>
          <w:sz w:val="24"/>
          <w:szCs w:val="24"/>
        </w:rPr>
        <w:t xml:space="preserve">Общая сумма потребных финансовых ресурсов, необходимых для реализации Программы на 2015-2017 годы составляет 24886,0 млн. сомов.</w:t>
      </w:r>
    </w:p>
    <w:p>
      <w:pPr>
        <w:spacing w:after="200" w:before="200"/>
        <w:jc w:val="center"/>
      </w:pPr>
      <w:r>
        <w:rPr>
          <w:rFonts w:ascii="Arial" w:cs="Arial" w:eastAsia="Arial" w:hAnsi="Arial"/>
          <w:b/>
          <w:bCs/>
          <w:sz w:val="24"/>
          <w:szCs w:val="24"/>
        </w:rPr>
        <w:t xml:space="preserve">13. Система мониторинга и оценки Программы на 2015-2017 годы</w:t>
      </w:r>
    </w:p>
    <w:p>
      <w:pPr>
        <w:spacing w:after="60"/>
        <w:ind w:firstLine="567"/>
        <w:jc w:val="both"/>
      </w:pPr>
      <w:r>
        <w:rPr>
          <w:rFonts w:ascii="Arial" w:cs="Arial" w:eastAsia="Arial" w:hAnsi="Arial"/>
          <w:sz w:val="24"/>
          <w:szCs w:val="24"/>
        </w:rPr>
        <w:t xml:space="preserve">48. Программой Правительства Кыргызской Республики по переходу Кыргызской Республики к устойчивому развитию на 2013-2017 годы предусматривается управление по результатам, внедрение систем мониторинга и оценки стратегий и программ государственных органов. Мониторинг и оценка позволят определить, насколько целевая социальная группа оказалась охвачена мерами и услугами Программы на 2015-2017 годы, насколько социальные услуги улучшают их положение.</w:t>
      </w:r>
    </w:p>
    <w:p>
      <w:pPr>
        <w:spacing w:after="60"/>
        <w:ind w:firstLine="567"/>
        <w:jc w:val="both"/>
      </w:pPr>
      <w:r>
        <w:rPr>
          <w:rFonts w:ascii="Arial" w:cs="Arial" w:eastAsia="Arial" w:hAnsi="Arial"/>
          <w:sz w:val="24"/>
          <w:szCs w:val="24"/>
        </w:rPr>
        <w:t xml:space="preserve">Основная цель мониторинга и оценки - обеспечение полной, достоверной и своевременной информацией об эффективности и результативности выполнения задач и мер Программы на 2015-2017 годы всех заинтересованных сторон, включая Жогорку Кенеш Кыргызской Республики, представителей гражданского общества.</w:t>
      </w:r>
    </w:p>
    <w:p>
      <w:pPr>
        <w:spacing w:after="60"/>
        <w:ind w:firstLine="567"/>
        <w:jc w:val="both"/>
      </w:pPr>
      <w:r>
        <w:rPr>
          <w:rFonts w:ascii="Arial" w:cs="Arial" w:eastAsia="Arial" w:hAnsi="Arial"/>
          <w:sz w:val="24"/>
          <w:szCs w:val="24"/>
        </w:rPr>
        <w:t xml:space="preserve">По итогам мониторинга планируется разработка информационно-коммуникативной схемы для достижения целей. Результаты мониторинга планируется распространять среди руководителей в государственной системе управления и других заинтересованных сторон.</w:t>
      </w:r>
    </w:p>
    <w:p>
      <w:pPr>
        <w:spacing w:after="60"/>
        <w:ind w:firstLine="567"/>
        <w:jc w:val="both"/>
      </w:pPr>
      <w:r>
        <w:rPr>
          <w:rFonts w:ascii="Arial" w:cs="Arial" w:eastAsia="Arial" w:hAnsi="Arial"/>
          <w:sz w:val="24"/>
          <w:szCs w:val="24"/>
        </w:rPr>
        <w:t xml:space="preserve">Система индикаторов является неотъемлемой составляющей мониторинга и оценки реализации Программы на 2015-2017 годы. Индикаторы мониторинга и оценки будут иметь качественные и количественные характеристики. Для данной Программы планируется проведение двух оценок: в 2016 году - формирующей оценки и в 2017 году - суммирующей оценки.</w:t>
      </w:r>
    </w:p>
    <w:p>
      <w:pPr>
        <w:spacing w:after="60"/>
        <w:ind w:firstLine="567"/>
        <w:jc w:val="both"/>
      </w:pPr>
      <w:r>
        <w:rPr>
          <w:rFonts w:ascii="Arial" w:cs="Arial" w:eastAsia="Arial" w:hAnsi="Arial"/>
          <w:sz w:val="24"/>
          <w:szCs w:val="24"/>
        </w:rPr>
        <w:t xml:space="preserve">Планируется утверждение Руководства по проведению мониторинга и оценки Программы на 2015-2017 годы, Плана мониторинга и оценки реализации Программы и Плана подготовки сотрудников к осуществлению мониторинга и оценки, включая обучение сотрудников местных государственных администраций.</w:t>
      </w:r>
    </w:p>
    <w:p>
      <w:pPr>
        <w:spacing w:after="60"/>
        <w:ind w:firstLine="567"/>
        <w:jc w:val="both"/>
      </w:pPr>
      <w:r>
        <w:rPr>
          <w:rFonts w:ascii="Arial" w:cs="Arial" w:eastAsia="Arial" w:hAnsi="Arial"/>
          <w:sz w:val="24"/>
          <w:szCs w:val="24"/>
        </w:rPr>
        <w:t xml:space="preserve">____________</w:t>
      </w:r>
    </w:p>
    <w:p>
      <w:pPr>
        <w:spacing w:after="60"/>
        <w:ind w:firstLine="567"/>
        <w:jc w:val="both"/>
      </w:pPr>
      <w:r>
        <w:rPr>
          <w:rFonts w:ascii="Arial" w:cs="Arial" w:eastAsia="Arial" w:hAnsi="Arial"/>
          <w:sz w:val="24"/>
          <w:szCs w:val="24"/>
        </w:rPr>
        <w:t xml:space="preserve">Примечания:</w:t>
      </w:r>
    </w:p>
    <w:p>
      <w:pPr>
        <w:spacing w:after="60"/>
        <w:ind w:firstLine="567"/>
        <w:jc w:val="both"/>
      </w:pPr>
      <w:r>
        <w:rPr>
          <w:rFonts w:ascii="Arial" w:cs="Arial" w:eastAsia="Arial" w:hAnsi="Arial"/>
          <w:sz w:val="24"/>
          <w:szCs w:val="24"/>
        </w:rPr>
        <w:t xml:space="preserve">(1) "Уровень бедности в Кыргызской Республике в 2013 г.". Нацстатком Кыргызской Республики.</w:t>
      </w:r>
    </w:p>
    <w:p>
      <w:pPr>
        <w:spacing w:after="60"/>
        <w:ind w:firstLine="567"/>
        <w:jc w:val="both"/>
      </w:pPr>
      <w:r>
        <w:rPr>
          <w:rFonts w:ascii="Arial" w:cs="Arial" w:eastAsia="Arial" w:hAnsi="Arial"/>
          <w:sz w:val="24"/>
          <w:szCs w:val="24"/>
        </w:rPr>
        <w:t xml:space="preserve">(2) Материалы Международной конференции высокого уровня по вопросам развития. 11 июня 2013 года.</w:t>
      </w:r>
    </w:p>
    <w:p>
      <w:pPr>
        <w:spacing w:after="60"/>
        <w:ind w:firstLine="567"/>
        <w:jc w:val="both"/>
      </w:pPr>
      <w:r>
        <w:rPr>
          <w:rFonts w:ascii="Arial" w:cs="Arial" w:eastAsia="Arial" w:hAnsi="Arial"/>
          <w:sz w:val="24"/>
          <w:szCs w:val="24"/>
        </w:rPr>
        <w:t xml:space="preserve">(3) </w:t>
      </w:r>
      <w:hyperlink w:history="1" r:id="rIdjuf5b6lmw21kdv26qhsjv">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КР "Об Отчете Премьер-министра Кыргызской Республики о работе Правительства Кыргызской Республики за 2013 год" от 8 апреля 2014 года № 202.</w:t>
      </w:r>
    </w:p>
    <w:p>
      <w:pPr>
        <w:spacing w:after="60"/>
        <w:ind w:firstLine="567"/>
        <w:jc w:val="both"/>
      </w:pPr>
      <w:r>
        <w:rPr>
          <w:rFonts w:ascii="Arial" w:cs="Arial" w:eastAsia="Arial" w:hAnsi="Arial"/>
          <w:sz w:val="24"/>
          <w:szCs w:val="24"/>
        </w:rPr>
        <w:t xml:space="preserve">(4) </w:t>
      </w:r>
      <w:hyperlink w:history="1" r:id="rIdlcbywsnatnihl4a1glkpb">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детях от 10 июля 2012 года № 100.</w:t>
      </w:r>
    </w:p>
    <w:p>
      <w:pPr>
        <w:spacing w:after="60"/>
        <w:ind w:firstLine="567"/>
        <w:jc w:val="both"/>
      </w:pPr>
      <w:r>
        <w:rPr>
          <w:rFonts w:ascii="Arial" w:cs="Arial" w:eastAsia="Arial" w:hAnsi="Arial"/>
          <w:sz w:val="24"/>
          <w:szCs w:val="24"/>
        </w:rPr>
        <w:t xml:space="preserve">(5) </w:t>
      </w:r>
      <w:hyperlink w:history="1" r:id="rIdtnk-znmz309cogidrmlhh">
        <w:r>
          <w:rPr>
            <w:rFonts w:ascii="Arial" w:cs="Arial" w:eastAsia="Arial" w:hAnsi="Arial"/>
            <w:color w:val="1D4ED8"/>
            <w:sz w:val="24"/>
            <w:szCs w:val="24"/>
            <w:u w:val="single"/>
          </w:rPr>
          <w:t xml:space="preserve">Указ</w:t>
        </w:r>
      </w:hyperlink>
      <w:r>
        <w:rPr>
          <w:rFonts w:ascii="Arial" w:cs="Arial" w:eastAsia="Arial" w:hAnsi="Arial"/>
          <w:sz w:val="24"/>
          <w:szCs w:val="24"/>
        </w:rPr>
        <w:t xml:space="preserve"> Президента КР от 20.06.2011 г. № 146.</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w:t>
      </w:r>
      <w:r>
        <w:rPr>
          <w:rFonts w:ascii="Arial" w:cs="Arial" w:eastAsia="Arial" w:hAnsi="Arial"/>
          <w:sz w:val="24"/>
          <w:szCs w:val="24"/>
        </w:rPr>
        <w:t xml:space="preserve">2</w:t>
      </w:r>
    </w:p>
    <w:p>
      <w:pPr>
        <w:spacing w:after="400" w:before="400"/>
        <w:jc w:val="center"/>
      </w:pPr>
      <w:r>
        <w:rPr>
          <w:rFonts w:ascii="Arial" w:cs="Arial" w:eastAsia="Arial" w:hAnsi="Arial"/>
          <w:b/>
          <w:bCs/>
          <w:sz w:val="32"/>
          <w:szCs w:val="32"/>
        </w:rPr>
        <w:t xml:space="preserve">ПЛАН МЕРОПРИЯТИЙ
 по реализации Программы развития социальной защиты населения Кыргызской Республики на 2016-2017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lelda-ohjci-xli0nr4dj">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8"/>
        <w:gridCol w:w="2192"/>
        <w:gridCol w:w="2343"/>
        <w:gridCol w:w="1567"/>
        <w:gridCol w:w="688"/>
        <w:gridCol w:w="1272"/>
        <w:gridCol w:w="1787"/>
      </w:tblGrid>
      <w:tr>
        <w:tc>
          <w:tcPr>
            <w:tcW w:type="dxa" w:w="32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1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Мероприятия</w:t>
            </w:r>
          </w:p>
        </w:tc>
        <w:tc>
          <w:tcPr>
            <w:tcW w:type="dxa" w:w="234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реализации/действии</w:t>
            </w:r>
          </w:p>
        </w:tc>
        <w:tc>
          <w:tcPr>
            <w:tcW w:type="dxa" w:w="15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Исполнители</w:t>
            </w:r>
          </w:p>
        </w:tc>
        <w:tc>
          <w:tcPr>
            <w:tcW w:type="dxa" w:w="68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исполнения</w:t>
            </w:r>
          </w:p>
        </w:tc>
        <w:tc>
          <w:tcPr>
            <w:tcW w:type="dxa" w:w="12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Ресурсы</w:t>
            </w:r>
          </w:p>
        </w:tc>
        <w:tc>
          <w:tcPr>
            <w:tcW w:type="dxa" w:w="178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Ожидаемый результат</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 Социальная защита детей и семей, находящихся в трудной жизненной ситуации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Усиление механизмов своевременного выявления и сопровождения детей и семей, находящихся в трудной жизненной ситуации</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профилактической работы по предупреждению трудных жизненных ситуаций (ТЖС)</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своевременному выявлению и сопровождению детей и семей, находящихся в ТЖС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Ежеквартальные отчеты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методические указания по выявлению и социальному сопровождения детей и семей, находящихся в ТЖС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Методические указания</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функционального анализа в районных (городских) управлениях социального развития (РГУСР)</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предложения по функциональной нагрузке и штатной численности РГУСР, командировочным, транспортным и другим операционным расходам с учетом функций по выявлению и социальному сопровождению семей и детей, находящихся в ТЖС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итогах функционального анализа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пересмотр функциональных обязанностей и штатной численности РГУСР с учетом функций по выявлению и социальному сопровождению семей и детей, находящихся в ТЖС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требований к качеству и безопасности услуг для детей, подвергшихся жестокому обращению (насилию)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утверждение минимальных стандартов по предоставлению социальных, психологических и правовых услуг для детей, подвергшихся жестокому обращению (насилию)</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методические указания по предоставлению социальных, психологических и правовых услуг для детей, подвергшихся жестокому обращению (насилию)</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Методические указания</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Интеграция механизмов неотложного/быстрого реагирования на случаи семейного насилия в действующую систему реагирования</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межведомственную рабочую группу для изучения и внесения предложений по интеграции механизмов неотложного/быстрого реагирования на случаи семейного насилия в действующую систему реагирования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 о создании межведомственной рабочей группы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инструкции по социальному сопровождению детей, подвергшихся жесткому обращению (насилию)</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инструкция</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доступа детей-сирот и детей, оставшихся без попечения родителей, в т.ч. выпускников детских учреждений интернатного типа к обучению в образовательных организациях</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увеличение квоты для обучения в образовательных организациях детей-сирот и детей, оставшихся без попечения родителей, в т.ч. выпускников детских учреждений интернатного типа, за счет государственного бюджета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Формирование жизненных навыков у выпускников детских учреждений интернатного типа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международную и национальную практику по социальному сопровождению, в том числе обеспечения жильем выпускников детских учреждений интернатного типа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ГААСЖКХ, ГАМСУМО,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и предложения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внедрить программу по формированию жизненных навыков и подготовке к самостоятельной жизни выпускников детских учреждений интернатного типа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МТСР,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Программа для выпускников детских учреждений интернатного типа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утверждение механизма обеспечения жильем выпускников детских учреждений интернатного типа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ГААСЖКХ, ГАМСУМО, МЗ,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Искоренение наихудших форм детского труда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исследование о распространении наихудших форм детского труда с учетом гендерных аспектов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НСК (по согласованию), МОН, МЗ, ГИЭТБ, ФПК (по согласованию), Конфедерация работодателей (по согласованию), МОТ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по результатам исследования с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План мероприятий по предотвращению вовлечения детей в наихудшие формы детского труда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Утвержденный План мероприятий</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Улучшение качества оказания социальных услуг, ориентированных на семейное окружение</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законодательства в сфере социального обслуживания населения</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Закона КР о внесении изменений в Закон КР "Об основах социального обслуживания населения в Кыргызской Республике"</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утверждение методики определения стоимости услуг учреждений, центров, оказывающих социальные услуги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МФ,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Регулирование деятельности организаций по предоставлению социальных услуг детям и семьям, находящихся в ТЖС</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мероприятия по аккредитации организаций, осуществляющих деятельность по уходу за детьми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аккредитованных организаций</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обучающие семинары для специалистов по аккредитации организаций, осуществляющих деятельность по уходу за детьми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специалистов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Разместить на сайтах министерств информацию об аккредитованных организациях, осуществляющих деятельность по уходу за детьми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Информация размещена на сайтах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информационно-разъяснительной работы среди населения по вопросам семейных ценностей, родительской ответственности, обеспечения семейного окружения детям, оставшимся без попечения родителей и др.</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распространить среди населения справочно-информационные бюллетени, памятки, плакаты:</w:t>
            </w:r>
          </w:p>
          <w:p>
            <w:pPr>
              <w:jc w:val="left"/>
            </w:pPr>
            <w:r>
              <w:rPr>
                <w:rFonts w:ascii="Arial" w:cs="Arial" w:eastAsia="Arial" w:hAnsi="Arial"/>
                <w:sz w:val="24"/>
                <w:szCs w:val="24"/>
              </w:rPr>
              <w:t xml:space="preserve">- об усилении роли семейных ценностей и родительской ответственности;</w:t>
            </w:r>
          </w:p>
          <w:p>
            <w:pPr>
              <w:jc w:val="left"/>
            </w:pPr>
            <w:r>
              <w:rPr>
                <w:rFonts w:ascii="Arial" w:cs="Arial" w:eastAsia="Arial" w:hAnsi="Arial"/>
                <w:sz w:val="24"/>
                <w:szCs w:val="24"/>
              </w:rPr>
              <w:t xml:space="preserve">- о недопустимости насилия в семье;</w:t>
            </w:r>
          </w:p>
          <w:p>
            <w:pPr>
              <w:jc w:val="left"/>
            </w:pPr>
            <w:r>
              <w:rPr>
                <w:rFonts w:ascii="Arial" w:cs="Arial" w:eastAsia="Arial" w:hAnsi="Arial"/>
                <w:sz w:val="24"/>
                <w:szCs w:val="24"/>
              </w:rPr>
              <w:t xml:space="preserve">- о семейных формах устройства детей-сирот и детей, оставшихся без попечения родителей;</w:t>
            </w:r>
          </w:p>
          <w:p>
            <w:pPr>
              <w:jc w:val="left"/>
            </w:pPr>
            <w:r>
              <w:rPr>
                <w:rFonts w:ascii="Arial" w:cs="Arial" w:eastAsia="Arial" w:hAnsi="Arial"/>
                <w:sz w:val="24"/>
                <w:szCs w:val="24"/>
              </w:rPr>
              <w:t xml:space="preserve">- о процедуре усыновления (удочерения), установления опеки, и попечительства над детьми, оставшимися без попечения родителей;</w:t>
            </w:r>
          </w:p>
          <w:p>
            <w:pPr>
              <w:jc w:val="left"/>
            </w:pPr>
            <w:r>
              <w:rPr>
                <w:rFonts w:ascii="Arial" w:cs="Arial" w:eastAsia="Arial" w:hAnsi="Arial"/>
                <w:sz w:val="24"/>
                <w:szCs w:val="24"/>
              </w:rPr>
              <w:t xml:space="preserve">- об организации школьного питания;</w:t>
            </w:r>
          </w:p>
          <w:p>
            <w:pPr>
              <w:jc w:val="left"/>
            </w:pPr>
            <w:r>
              <w:rPr>
                <w:rFonts w:ascii="Arial" w:cs="Arial" w:eastAsia="Arial" w:hAnsi="Arial"/>
                <w:sz w:val="24"/>
                <w:szCs w:val="24"/>
              </w:rPr>
              <w:t xml:space="preserve">- о своевременном оформлении документов (справка о рождении, свидетельство о рождении, паспорт);</w:t>
            </w:r>
          </w:p>
          <w:p>
            <w:pPr>
              <w:jc w:val="left"/>
            </w:pPr>
            <w:r>
              <w:rPr>
                <w:rFonts w:ascii="Arial" w:cs="Arial" w:eastAsia="Arial" w:hAnsi="Arial"/>
                <w:sz w:val="24"/>
                <w:szCs w:val="24"/>
              </w:rPr>
              <w:t xml:space="preserve">- о предоставляемых социальных услугах детям и семьям, находящимся в ТЖС.</w:t>
            </w:r>
          </w:p>
          <w:p>
            <w:pPr>
              <w:jc w:val="left"/>
            </w:pPr>
            <w:r>
              <w:rPr>
                <w:rFonts w:ascii="Arial" w:cs="Arial" w:eastAsia="Arial" w:hAnsi="Arial"/>
                <w:sz w:val="24"/>
                <w:szCs w:val="24"/>
              </w:rPr>
              <w:t xml:space="preserve">Организовать выступления на телевидении и радио, публикации статей в СМИ, на интернет-сайтах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МЗ, МКИТ, ГРС, МГА, ОМСУ (по согласованию), ОТРК (по согласованию), НПО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СМИ, выступлений на телевидении и радио.</w:t>
            </w:r>
          </w:p>
          <w:p>
            <w:pPr>
              <w:jc w:val="left"/>
            </w:pPr>
            <w:r>
              <w:rPr>
                <w:rFonts w:ascii="Arial" w:cs="Arial" w:eastAsia="Arial" w:hAnsi="Arial"/>
                <w:sz w:val="24"/>
                <w:szCs w:val="24"/>
              </w:rPr>
              <w:t xml:space="preserve">Количество распространенных информационных материалов</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Внедрение механизмов муниципальных социальных заказов в процессе формирования рынка социальных услуг</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муниципальных социальных заказов для развития социальных услуг, альтернативных интернатным учреждениям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инвентаризацию муниципальных социальных услуг, оказываемых в г.Бишкек, в т.ч. в интернатных учреждениях, кризисных центрах, приютах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 ГАМСУМО, НКО (по согласованию), МО (по согласованию)</w:t>
            </w: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нужд и потребностей семей и детей, находящихся в ТЖС, проживающих в г.Бишкек</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 НКО (по согласованию), МО (по согласованию)</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решения мэрии г.Бишкек "О программе муниципального заказа в городе Бишкек"</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(по согласованию), ГАМСУМО,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vMerge w:val="continue"/>
            <w:tcBorders>
              <w:top w:val="none" w:color="auto" w:sz="0"/>
              <w:left w:val="none" w:color="auto" w:sz="0"/>
              <w:bottom w:val="single" w:color="CBBF9E" w:sz="4"/>
              <w:right w:val="single" w:color="CBBF9E" w:sz="4"/>
            </w:tcBorders>
          </w:tcP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программа</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Повышение эффективности системы ЕПМС</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нормативных правовых актов в части определения нуждаемости семей в ЕПМС и его назначении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проекты НПА с учетом введения обновленной формулы ГМД</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повышение размера ГМД и фиксированного размера ЕПМС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13</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эффективности системы ЕПМС с целью улучшения адресности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Определить индикаторы оценки эффективности системы ЕПМС на базе интегрированного обследования домохозяйств, ежегодно проводимого Национальным статистическим комитетом Кыргызской Республики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НСК (по согласованию), ВБ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Публикация индикаторов эффективности ЕПМС</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пилотирование усовершенствованной модели ЕПМС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ВБ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пилотирование усовершенствованной модели ЕПМС</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ВБ (по согласованию), ВПП ООН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по результатам апробации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механизмы дополнительных мер социальной защиты (обеспечение продуктами питания), направленных на смягчение бедности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ВПП ООН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Рекомендации и предложения</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14</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системы назначения ЕПМС</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мероприятия по развитию информационно-коммуникационных технологий с целью повышения эффективности администрирования пособий</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ВБ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Сокращение числа необоснованных назначений ЕПМС</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Подготовка среднесрочного проекта бюджета (СПБ)</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об утверждении СПБ, предусматривающего ежегодное увеличение доли расходов на ЕПМС (не менее 2% от государственных расходов)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5. Усиление социальной поддержки детей, потерявших одного/обоих кормильцев</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16</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социального обеспечения детей, потерявших одного/обоих кормильцев</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ежегодную индексацию размеров пенсий по случаю потери кормильца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детей, потерявших одного/двух кормильцев, не имеющих право на пенсионное обеспечение, ежемесячными социальными пособиями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Дети-сироты, не имеющие право на пенсионное обеспечение, обеспечены социальными пособиями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 Социальная защита лиц с ограниченными возможностями здоровья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Предупреждение и профилактика инвалидности</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роста новых случаев инвалидности путем раннего выявления врожденных пороков развития и нарушений психофизического развития детей в дошкольном возрасте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инновационные методики и технологии комплексной ранней диагностики и реабилитации ребенка в раннем возрасте</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МГА, ОМСУ (по согласованию), АРДИ (по согласованию),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о результатах внедрения индивидуальных программ реабилитации детей с ОВЗ с учетом гендерных аспектов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концептуальный документ по раннему вмешательству по работе семьями, имеющими детей с 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МТСР, МГА, ОМСУ (по согласованию), АРДИ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Проект концептуального документа</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18</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случаев инвалидности на производстве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Усилить надзор за исполнением законодательства по охране труда на предприятиях с высокой степенью риска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о влиянии принятых мер на снижение производственного травматизма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НПА о введении систематического контроля на производстве со стороны санитарно-эпидемиологической службы</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ГИЭТБ</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контроль за своевременным проведением медицинских профилактических осмотров на производстве</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ГИЭТБ, СМИ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система постоянного контроля и надзора за прохождением медицинских осмотров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об увеличении штрафных санкций за несоблюдение правил охраны труда и техники безопасности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МТСР, МЗ</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квалификацию инженеров по технике безопасности и государственных инспекторов труда с учетом международных стандартов и гендерных аспектов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2016-2016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работников по охране труда</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информационную работу по повышению экологической и санитарно-гигиенической культуры населения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ГАООСЛХ, МЗ, МСХППМ,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публикаций в СМИ, выступлений на телевидении и радио</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НПА, регулирующих работу психолого-медико-педагогических консультаций как основы раннего выявления детской инвалидности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в областных центрах психолого-медико-педагогические консультации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НКО (по согласованию),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3 консультации.</w:t>
            </w:r>
          </w:p>
          <w:p>
            <w:pPr>
              <w:jc w:val="left"/>
            </w:pPr>
            <w:r>
              <w:rPr>
                <w:rFonts w:ascii="Arial" w:cs="Arial" w:eastAsia="Arial" w:hAnsi="Arial"/>
                <w:sz w:val="24"/>
                <w:szCs w:val="24"/>
              </w:rPr>
              <w:t xml:space="preserve">Доля детей с ОВЗ, охваченных инклюзивным образованием, от общего числа обратившихся детей с ОВЗ</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Положения о психолого-педагогической службе в школах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НКО (по согласованию),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Утверждено Положение</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апробацию Положения о психолого-педагогической службе в 2-х пилотных районах республики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об итогах апробации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Улучшение качества и доступа к медицинским, образовательным и социальным услугам</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Дальнейшее реформирование системы медико-социальной экспертизы для введения международных стандартов установления инвалидности, адаптированных для Кыргызской Республики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Усовершенствовать методику освидетельствования инвалидности путем поэтапного внедрения отдельных положений Международной классификации функционирования, ограничений жизнедеятельности и здоровья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Итоги апробации методики в 5 МСЭК, к 2018 году - в 27 территориальных МСЭК</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Обучить сотрудников медико-социальных экспертных комиссий навыкам применения обновленной методики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обучения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оптимальную организационно-функциональную модель службы МСЭ</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о результатах апробации модели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материально-техническую базу 5 пилотных служб МСЭ</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МЗ,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реабилитационных центров, предоставляющих социальные услуги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социальный заказ на закупку реабилитационных услуг, с учетом возможностей ОМСУ</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НКО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социальной поддержки родителям, имеющим детей с ОВЗ, на основе международного опыта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установление надбавки к ежемесячным социальным пособиям</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Соцфонд, МФ, ФОМС</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изготовления протезно-ортопедических изделий для ЛОВЗ</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международный опыт по изготовлению протезно-ортопедических изделий.</w:t>
            </w:r>
          </w:p>
          <w:p>
            <w:pPr>
              <w:jc w:val="left"/>
            </w:pPr>
            <w:r>
              <w:rPr>
                <w:rFonts w:ascii="Arial" w:cs="Arial" w:eastAsia="Arial" w:hAnsi="Arial"/>
                <w:sz w:val="24"/>
                <w:szCs w:val="24"/>
              </w:rPr>
              <w:t xml:space="preserve">Повысить квалификацию сотрудников Республиканского учреждения протезно-ортопедических изделий</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 (по согласованию),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обученных сотрудников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новые технологии изготовления протезно-ортопедических изделий для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 (по согласованию),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новых видов протезно-ортопедических изделий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24</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механизма аккредитации НКО и учреждений социального обслуживания, предоставляющих социальные услуги ЛОВЗ</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введение механизма аккредитации организаций и учреждений, предоставляющих социальные услуги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инклюзивным образованием детей с ОВЗ</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развитие инклюзивного образования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МЗ, МТСР,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профилактические медицинские осмотры школьников в общеобразовательных школах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детей, охваченных профилактическим медицинским осмотром, от общего числа школьников</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мероприятия по улучшению доступа ЛОВЗ к услугам медицинской реабилитации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МОН, МТСР,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ЛOB3, получивших медицинскую реабилитацию в организациях здравоохранения, в общем числе обратившихся ЛОВЗ</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Обеспечение равных прав и возможностей для ЛОВЗ</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26</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доступа ЛОВЗ к занятости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трудоустройству ЛОВЗ на квотируемые рабочие места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МТСР, МОН, МЗ, ГРС</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Ежегодно проводить ярмарки вакансий для ЛОВЗ.</w:t>
            </w:r>
          </w:p>
          <w:p>
            <w:pPr>
              <w:jc w:val="left"/>
            </w:pPr>
            <w:r>
              <w:rPr>
                <w:rFonts w:ascii="Arial" w:cs="Arial" w:eastAsia="Arial" w:hAnsi="Arial"/>
                <w:sz w:val="24"/>
                <w:szCs w:val="24"/>
              </w:rPr>
              <w:t xml:space="preserve">Информировать о вакансиях для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МГА, ОМСУ (по согласованию), МОТ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ярмарок вакансий.</w:t>
            </w:r>
          </w:p>
          <w:p>
            <w:pPr>
              <w:jc w:val="left"/>
            </w:pPr>
            <w:r>
              <w:rPr>
                <w:rFonts w:ascii="Arial" w:cs="Arial" w:eastAsia="Arial" w:hAnsi="Arial"/>
                <w:sz w:val="24"/>
                <w:szCs w:val="24"/>
              </w:rPr>
              <w:t xml:space="preserve">Доля трудоустроенных ЛОВЗ в общем числе обратившихся в службу занятости</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ЛОВЗ в обучении специальностям, востребованным на рынке труда</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обучение ЛОВЗ специальностям, востребованным на рынке труда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МГА, ОМСУ, (по согласованию), НКО и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обучения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реабилитационные группы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созданных реабилитационных групп ЛОВЗ</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28</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доступа ЛОВЗ к культурным и туристическим объектам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специальные приспособления (пандусы и перила) в культурно-зрелищных учреждениях (музеи, театры, кинотеатры, библиотеки)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МФ,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учреждений, в которых установлены специальные приспособления</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культурные и туристические мероприятия для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МКИТ, МФ,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проведенных мероприятий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Включение представителей ЛОВЗ в состав комиссий по приему и вводу в эксплуатацию зданий, сооружений</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изменения и дополнения в решения, предусматривающие включение представителей общественных организаций ЛОВЗ в состав комиссий</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ГИЭТБ, ГААСЖКХ, 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Принятое решение</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Расширение доступа ЛОВЗ к правосудию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Закона КР "О внесении изменений в Закон КР "О гарантированной государством юридической помощи", устанавливающий круг лиц, имеющих право на получение бесплатной юридической помощи независимо от уровня доходов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МЮ, МТСР, МО (по согласованию), ПРООН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Улучшение системы пенсионного обеспечения ЛОВЗ, а также обеспечение гарантированных государством выплат</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системы пенсионного обеспечения ЛОВЗ, а также обеспечение гарантированных государством выплат</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ежегодную индексацию страховых частей пенсий ЛОВЗ</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ЛОВЗ, не имеющих право на пенсионное обеспечение, ежемесячными социальными пособиями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ЛОВЗ, не имеющие право на пенсионное обеспечение, поддержаны социальными пособиями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 Социальная защита пожилых граждан</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Повышение доступа пожилых граждан к качественным социальным услугам</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32</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потребности пожилых граждан в социальных услугах на местном уровне</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ситуации в целях определения потребностей пожилых граждан в различных видах социальных услуг на местном уровне в 2-х пилотных областях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выводами и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Поддержать деятельность групп самопомощи и клубов по интересам с учетом гендерных аспектов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ОМСУ (по согласованию), МТСР, мэрии городов Бишкек и Ош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функционирование групп самопомощи и клубов по интересам</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33</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профессионального уровня социальных работников</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Внедрить систему постоянного обучения и повышения квалификации социальных работников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АГУПКР,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обучения</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аккредитации некоммерческих организаций и учреждений социального обслуживания, оказывающих социальные услуги пожилым гражданам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введение механизма аккредитации организаций и учреждений, оказывающих социальные услуги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МЗ, МОН,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35</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по государственному социальному заказу</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Принять меры по продвижению проекта Закона Кыргызской Республики "О государственном социального заказе"</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 Кыргызской Республики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по внедрению государственного социального заказа</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МЗ, МОН,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36</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механизма предоставления платных социальных услуг пожилым гражданам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утверждение перечня платных социальных услуг</w:t>
            </w:r>
          </w:p>
        </w:tc>
        <w:tc>
          <w:tcPr>
            <w:tcW w:type="dxa" w:w="15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МОН, ГАМСУМО, НКО (по согласованию)</w:t>
            </w:r>
          </w:p>
        </w:tc>
        <w:tc>
          <w:tcPr>
            <w:tcW w:type="dxa" w:w="68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предоставления платных социальных услуг</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методики определения стоимости социальных услуг</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международный опыт определения стоимости социальных услуг</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 НКО и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утвердить методику определения стоимости социальных услуг</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ГАМСУМО</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Утвержденная методика</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38</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Анализ и прогнозирование старения населения с учетом демографической ситуации и гендерных аспектов</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и внести предложения по вопросам процесса старения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НСК (по согласованию), МЗ, НКО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предложениями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Совершенствование тарифной политики в области государственного социального страхования лиц, занятых в неорганизованном секторе экономики</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тарифов страховых взносов по государственному социальному страхованию для лиц, занятых в сельском хозяйстве и индивидуальной трудовой деятельностью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и внести проект НПА, предусматривающий пересмотр тарифов и механизм отчислений страховых взносов гражданами, занятыми в сельском хозяйстве и индивидуальной трудовой деятельностью</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МСХППМ, МЭ</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Соцфонда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информационные кампании по разъяснению населению вопросов пенсионного обеспечения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ОМСУ (по согласованию), СМИ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Средства Соцфонда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о результатах проведенной информационной кампании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Укрепление здоровья, повышение благосостояния пожилых граждан</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40</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Профилактика заболеваний</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Улучшить доступ пожилых граждан к медицинским услугам на льготных условиях</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МГА,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пожилых граждан, получивших медицинские услуги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дополнения в Перечень лекарственных средств, возмещаемых по государственным программам лекарственного обеспечения, с учетом перечня жизненно важных средств</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ФОМС</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 доступ пожилых граждан к медикаментам с учетом потребностей</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41</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уровня социальной защиты пожилых граждан</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пожилых граждан, не имеющих право на пенсионное обеспечение, ежемесячными социальными пособиями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пожилых граждан, получающих социальные пособия</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Создание условий для повышения квалификации и переквалификации, получения образования в трудоустройства пожилых граждан</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возможности для трудоустройства пожилых граждан</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в трудоустройстве пожилых граждан</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Аналитические отчеты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 Дополнительные меры социальной защиты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1. Совершенствование нормативных правовых актов, регулирующих назначение пособий по беременности и родам</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43</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назначения пособий по беременности и родам</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(исследование) системы назначения пособия по беременности и родам, с учетом международного опыта, и внести предложения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Соцфонд, МЗ, ФПК (по согласованию), Конфедерация работодателей (по согласованию), НКО (по согласованию), МОТ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с рекомендациями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2. Совершенствование нормативных правовых актов, регулирующих назначение и выплату ритуального пособия</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44</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и выработка предложений по совершенствованию системы назначения ритуального пособия</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(исследования) системы назначения пособия, с учетом международного опыта и внести предложения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 Соцфонд, ГАМСУМО, ФПК (по согласованию), Конфедерация работодателей (по согласованию), МО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с рекомендациями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3. Совершенствование механизма предоставления жилищных субсидий в условиях повышения тарифов</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45</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мер адресной поддержки социально незащищенных категорий граждан в условиях повышения тарифов на электроэнергию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Изучить систему предоставления жилищных субсидий, а также адресных мер социальной поддержки в условиях повышения тарифов на электроэнергию</w:t>
            </w:r>
          </w:p>
        </w:tc>
        <w:tc>
          <w:tcPr>
            <w:tcW w:type="dxa" w:w="15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ГАРТЭК, ГАМСУМО, МТСР, Соцфонд, мэрии г.Бишкек и г.Ош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 с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НПА, предусматривающий совершенствование и внедрение системы предоставления жилищных субсидий, а также адресных мер социальной поддержки в условиях повышения тарифов</w:t>
            </w:r>
          </w:p>
        </w:tc>
        <w:tc>
          <w:tcPr>
            <w:vMerge w:val="continue"/>
            <w:tcBorders>
              <w:top w:val="none" w:color="auto" w:sz="0"/>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2017 год</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Постановление Правительства КР</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4. Организация профессионального обучения, повышения квалификации и переобучения безработных граждан</w:t>
            </w:r>
          </w:p>
        </w:tc>
      </w:tr>
      <w:tr>
        <w:tc>
          <w:tcPr>
            <w:tcW w:type="dxa" w:w="328"/>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46</w:t>
            </w:r>
          </w:p>
        </w:tc>
        <w:tc>
          <w:tcPr>
            <w:tcW w:type="dxa" w:w="21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Изучение мер содействия занятости и внесение предложений</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Реализовать меры по внедрению новых элементов содействия занятости населения</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Аналитическая информация о результатах принятых мер</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5. Стимулирование организации оплачиваемых общественных работ в сферах, имеющих высокую социальную значимость для страны</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47</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Пересмотр процедур организации оплачиваемых общественных работ для безработных граждан</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и провести мероприятия по обеспечению временными рабочими местами безработных граждан</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граждан, направленных для участия в оплачиваемых общественных работах, от числа безработных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разработки примерного перечня видов социально значимых объектов по линии оплачиваемых общественных работ</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Мэрия г.Бишкек, Мэрия г.Ош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Предложения и рекомендации</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6. Институционализация системы социального микрокредитования</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48</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к микрокредитованию</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финансовую помощь безработным гражданам для организации индивидуальной предпринимательской деятельности</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безработных граждан, получивших микрокредиты, от числа безработных</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информационно-консультационную работу по вопросам организации предпринимательской деятельности среди безработных граждан</w:t>
            </w:r>
          </w:p>
        </w:tc>
        <w:tc>
          <w:tcPr>
            <w:tcW w:type="dxa" w:w="156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МБ</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Отчеты</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7. Определение минимальных норм социальной защиты через проведение национального диалога, основанного на оценке состояния социальной защиты населения</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49</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Определение возможностей применения положений Рекомендации МОТ № 202</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оценку состояния социальной защиты населения на соответствие Конвенции МОТ № 102 "О минимальных стандартах социального обеспечения" и Рекомендациям МОТ № 202 "О минимальных нормах социальной защиты"</w:t>
            </w:r>
          </w:p>
        </w:tc>
        <w:tc>
          <w:tcPr>
            <w:tcW w:type="dxa" w:w="15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МЭ, МФ, Соцфонд, МЗ, ГИЭТБ, ФОМС, ФПК (по согласованию), Конфедерация работодателей, МОТ (по согласованию)</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 с выводами и рекомендациями</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Презентация финального отчета об оценке состояния социальной защиты</w:t>
            </w:r>
          </w:p>
        </w:tc>
        <w:tc>
          <w:tcPr>
            <w:vMerge w:val="continue"/>
            <w:tcBorders>
              <w:top w:val="none" w:color="auto" w:sz="0"/>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Отчет</w:t>
            </w:r>
          </w:p>
        </w:tc>
      </w:tr>
      <w:tr>
        <w:tc>
          <w:tcPr>
            <w:tcW w:type="dxa" w:w="10177"/>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Задача 8. Улучшение межведомственного информационного обмена в сфере социальной защиты</w:t>
            </w:r>
          </w:p>
        </w:tc>
      </w:tr>
      <w:tr>
        <w:tc>
          <w:tcPr>
            <w:tcW w:type="dxa" w:w="328"/>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219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взаимодействия электронной базы данных государственных органов в целях упрощения обмена данными</w:t>
            </w: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анализ информационных систем по вопросам организации взаимодействия электронных баз данных государственных органов</w:t>
            </w:r>
          </w:p>
        </w:tc>
        <w:tc>
          <w:tcPr>
            <w:tcW w:type="dxa" w:w="1567"/>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ГРС, Соцфонд, ГНС, ФОМС, МЗ, МТСР, МОН</w:t>
            </w: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Аналитический отчет</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3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механизм взаимодействия электронных баз данных государственных органов</w:t>
            </w:r>
          </w:p>
        </w:tc>
        <w:tc>
          <w:tcPr>
            <w:vMerge w:val="continue"/>
            <w:tcBorders>
              <w:top w:val="none" w:color="auto" w:sz="0"/>
              <w:left w:val="none" w:color="auto" w:sz="0"/>
              <w:bottom w:val="single" w:color="CBBF9E" w:sz="4"/>
              <w:right w:val="single" w:color="CBBF9E" w:sz="4"/>
            </w:tcBorders>
          </w:tcPr>
          <w:p/>
        </w:tc>
        <w:tc>
          <w:tcPr>
            <w:tcW w:type="dxa" w:w="68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2016-2017 годы</w:t>
            </w:r>
          </w:p>
        </w:tc>
        <w:tc>
          <w:tcPr>
            <w:tcW w:type="dxa" w:w="12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РБ, внебюджетные средства</w:t>
            </w:r>
          </w:p>
        </w:tc>
        <w:tc>
          <w:tcPr>
            <w:tcW w:type="dxa" w:w="17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механизма взаимодействия</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w:t>
      </w:r>
      <w:r>
        <w:rPr>
          <w:rFonts w:ascii="Arial" w:cs="Arial" w:eastAsia="Arial" w:hAnsi="Arial"/>
          <w:sz w:val="24"/>
          <w:szCs w:val="24"/>
        </w:rPr>
        <w:t xml:space="preserve">3</w:t>
      </w:r>
    </w:p>
    <w:p>
      <w:pPr>
        <w:spacing w:after="400" w:before="400"/>
        <w:jc w:val="center"/>
      </w:pPr>
      <w:r>
        <w:rPr>
          <w:rFonts w:ascii="Arial" w:cs="Arial" w:eastAsia="Arial" w:hAnsi="Arial"/>
          <w:b/>
          <w:bCs/>
          <w:sz w:val="32"/>
          <w:szCs w:val="32"/>
        </w:rPr>
        <w:t xml:space="preserve">ФИНАНСОВЫЙ ПЛАН
 реализации задач Программы развития социальной защиты населения Кыргызской Республики на 2015-2017 годы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1034"/>
        <w:gridCol w:w="1364"/>
        <w:gridCol w:w="633"/>
        <w:gridCol w:w="633"/>
        <w:gridCol w:w="633"/>
        <w:gridCol w:w="633"/>
        <w:gridCol w:w="633"/>
        <w:gridCol w:w="633"/>
        <w:gridCol w:w="633"/>
        <w:gridCol w:w="633"/>
        <w:gridCol w:w="611"/>
        <w:gridCol w:w="611"/>
        <w:gridCol w:w="611"/>
        <w:gridCol w:w="611"/>
      </w:tblGrid>
      <w:tr>
        <w:tc>
          <w:tcPr>
            <w:tcW w:type="dxa" w:w="271"/>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3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разделов</w:t>
            </w:r>
          </w:p>
        </w:tc>
        <w:tc>
          <w:tcPr>
            <w:tcW w:type="dxa" w:w="13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задач</w:t>
            </w:r>
          </w:p>
        </w:tc>
        <w:tc>
          <w:tcPr>
            <w:tcW w:type="dxa" w:w="2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Потребность в финансировании на 2015-2017 годы</w:t>
            </w:r>
          </w:p>
        </w:tc>
        <w:tc>
          <w:tcPr>
            <w:tcW w:type="dxa" w:w="2532"/>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Возможности на 2015-2017 гг.</w:t>
            </w:r>
          </w:p>
        </w:tc>
        <w:tc>
          <w:tcPr>
            <w:tcW w:type="dxa" w:w="2444"/>
            <w:gridSpan w:val="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Финансовый разрыв на 2015-2017 годы</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89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c>
          <w:tcPr>
            <w:tcW w:type="dxa" w:w="633"/>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89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c>
          <w:tcPr>
            <w:tcW w:type="dxa" w:w="611"/>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Всего</w:t>
            </w:r>
          </w:p>
        </w:tc>
        <w:tc>
          <w:tcPr>
            <w:tcW w:type="dxa" w:w="1833"/>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из них:</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 (млн.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доноров</w:t>
            </w:r>
          </w:p>
        </w:tc>
        <w:tc>
          <w:tcPr>
            <w:vMerge w:val="continue"/>
            <w:tcBorders>
              <w:top w:val="none" w:color="auto" w:sz="0"/>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доноров</w:t>
            </w:r>
          </w:p>
        </w:tc>
        <w:tc>
          <w:tcPr>
            <w:vMerge w:val="continue"/>
            <w:tcBorders>
              <w:top w:val="none" w:color="auto" w:sz="0"/>
              <w:left w:val="none" w:color="auto" w:sz="0"/>
              <w:bottom w:val="single" w:color="CBBF9E" w:sz="4"/>
              <w:right w:val="single" w:color="CBBF9E" w:sz="4"/>
            </w:tcBorders>
          </w:tcP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респ. бюджет</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местный бюджет</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доноров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(млн. сом)</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детей и семей, имеющих детей, находящихся в трудной жизненной ситуации (ТЖС)</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механизмов своевременного выявления и сопровождения детей и семей, находящихся в ТЖС</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оказания социальных услуг, ориентированных на семейное окружение детей, находящихся в ТЖС</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144,1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0,1</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муниципальных социальных заказов для развития рынка социальных услуг</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эффективности системы ЕПМС</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8638,9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8690,9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8638,9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социальной поддержки детей, потерявших одного/обоих кормильцев</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650,9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9510,6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9458,4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9510,6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9458,4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лиц с ограниченными возможностями здоровья (ЛОВЗ)</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 профилактика инвалидности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и доступа к медицинским, образовательным и социальным услугам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1016,4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равных прав и возможностей для ЛОВЗ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5852,7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системы пенсионного обеспечения ЛОВЗ</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7002,6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7002,4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7002,6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7002,4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0,2</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пожилых граждан</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доступа пожилых граждан к качественным социальным услугам</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277,2</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Усовершенствование тарифной политики по государственному социальному страхованию для лиц, занятых в неорганизованном секторе экономики</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здоровья, повышение благосостояния пожилых граждан</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1638,7</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повышения квалификации, трудоустройства пожилых граждан</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335,6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3</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2251,4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034"/>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поддержка отдельных категорий граждан, социальное обеспечение работающих</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4865,0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3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Планирование, управление администрирование</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1256,4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0,0</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398"/>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Итого по разделу 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6121,4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r>
        <w:tc>
          <w:tcPr>
            <w:tcW w:type="dxa" w:w="2669"/>
            <w:gridSpan w:val="3"/>
            <w:tcBorders>
              <w:top w:val="none" w:color="auto" w:sz="0"/>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Всего</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24886,0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24833,6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24886,0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24833,6</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3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52,4</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c>
          <w:tcPr>
            <w:tcW w:type="dxa" w:w="6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0,0</w:t>
            </w:r>
          </w:p>
        </w:tc>
      </w:tr>
    </w:tbl>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МАТРИЦА
 индикаторов для мониторинга Программы развития социальной защиты населения Кыргызской Республики на 2015-2017 годы</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ad3quyjcukjruiubibps2">
        <w:r>
          <w:rPr>
            <w:rFonts w:ascii="Arial" w:cs="Arial" w:eastAsia="Arial" w:hAnsi="Arial"/>
            <w:i/>
            <w:iCs/>
            <w:color w:val="1D4ED8"/>
            <w:sz w:val="24"/>
            <w:szCs w:val="24"/>
            <w:u w:val="single"/>
          </w:rPr>
          <w:t xml:space="preserve">14 октября 2016 года № 552</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3"/>
        <w:gridCol w:w="1319"/>
        <w:gridCol w:w="1417"/>
        <w:gridCol w:w="771"/>
        <w:gridCol w:w="989"/>
        <w:gridCol w:w="990"/>
        <w:gridCol w:w="990"/>
        <w:gridCol w:w="989"/>
        <w:gridCol w:w="1164"/>
        <w:gridCol w:w="1234"/>
      </w:tblGrid>
      <w:tr>
        <w:tc>
          <w:tcPr>
            <w:tcW w:type="dxa" w:w="31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31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Задача</w:t>
            </w:r>
          </w:p>
        </w:tc>
        <w:tc>
          <w:tcPr>
            <w:tcW w:type="dxa" w:w="14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индикаторов</w:t>
            </w:r>
          </w:p>
        </w:tc>
        <w:tc>
          <w:tcPr>
            <w:tcW w:type="dxa" w:w="771"/>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Единица изм.</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Базовый год
 (2014 г.)</w:t>
            </w:r>
          </w:p>
        </w:tc>
        <w:tc>
          <w:tcPr>
            <w:tcW w:type="dxa" w:w="198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Промежуточные индикаторы (годовые)</w:t>
            </w:r>
          </w:p>
        </w:tc>
        <w:tc>
          <w:tcPr>
            <w:tcW w:type="dxa" w:w="989"/>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Целевые показатели
 (2017 г.)</w:t>
            </w:r>
          </w:p>
        </w:tc>
        <w:tc>
          <w:tcPr>
            <w:tcW w:type="dxa" w:w="1164"/>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Источники данных</w:t>
            </w:r>
          </w:p>
        </w:tc>
        <w:tc>
          <w:tcPr>
            <w:tcW w:type="dxa" w:w="123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Ответственные исполнители</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2015 г.</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2016 г.</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раннего выявления семей с детьми и детей, находящихся в ТЖС</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семей с детьми и детей, находящихся в ТЖС, снятых с учета в общем количестве семей, находящихся в ТЖС</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МГА</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социальных услуг для семей с детьми и детей в ТЖС</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центров по предоставлению социальных услуг для семей и детей, находящихся в ТЖС (в рамках государственного социального заказа)</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ОМСУ (по согласованию), МО, НКО (по согласованию)</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Социальная защита детей-сирот и детей, оставшихся без попечения родителей</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детей-сирот и детей, оставшихся без попечения родителей, устроенных в приемные семьи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13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эффективности системы ЕПМС</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бюджета ЕПМС в расходах республиканского бюджета</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Соотношение размера гарантированного минимального дохода текущего года к размеру гарантированного минимального дохода предыдущего года</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бюджета ЕПМС в бюджете МТСР на социальные выплаты</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33,4</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40,0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45,0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МФ</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3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Предупреждение и профилактика инвалидности</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детей с ограниченными возможностями здоровья с рождения</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Снижение на 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МЗ</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МЗ, МТСР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лиц, получивших инвалидность на производстве</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Чел.</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17</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НСК, 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 ГИЭТБ</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13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Улучшение качества и доступа медицинских, образовательных и социальных услуг</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служб МСЭ, внедривших новую методику определения инвалидности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Количество реабилитационных центров по предоставлению социальных услуг для ЛОВЗ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Ед.</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МТСР, М3</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МТСР, М3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ЛОВЗ, обеспеченных социальными услугами на местном уровне, в числе обратившихся ЛОВЗ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МТСР, М3</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ОМСУ (по согласованию), МГА, МТСР, М3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ЛОВЗ, получивших медицинскую реабилитацию, в общем числе обратившихся ЛОВЗ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М3</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детей с ОВЗ, обеспеченных инклюзивным образованием, в общем числе детей с 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МОН</w:t>
            </w:r>
          </w:p>
        </w:tc>
      </w:tr>
      <w:tr>
        <w:tc>
          <w:tcPr>
            <w:tcW w:type="dxa" w:w="313"/>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1319"/>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равного прав и возможностей для ЛОВЗ</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трудоустроенных ЛОВЗ в общем числе обратившихся в службу занятости ЛОВЗ</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МТСР</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Доля курортно-зрелищных учреждений, в которых установлены специальные приспособления (пандусы и перила), в общем числе</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9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9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Фактическая динамика</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МГА, МКИТ, ГААСЖКХ</w:t>
            </w:r>
          </w:p>
        </w:tc>
      </w:tr>
      <w:tr>
        <w:tc>
          <w:tcPr>
            <w:tcW w:type="dxa" w:w="31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13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социальной поддержки получателей пенсий</w:t>
            </w:r>
          </w:p>
        </w:tc>
        <w:tc>
          <w:tcPr>
            <w:tcW w:type="dxa" w:w="14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Темпы роста страховой части среднего размера пенсии</w:t>
            </w:r>
          </w:p>
        </w:tc>
        <w:tc>
          <w:tcPr>
            <w:tcW w:type="dxa" w:w="771"/>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109</w:t>
            </w:r>
          </w:p>
        </w:tc>
        <w:tc>
          <w:tcPr>
            <w:tcW w:type="dxa" w:w="990"/>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89"/>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11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w:t>
            </w:r>
          </w:p>
        </w:tc>
        <w:tc>
          <w:tcPr>
            <w:tcW w:type="dxa" w:w="12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Соцфонд, МФ</w:t>
            </w:r>
          </w:p>
        </w:tc>
      </w:tr>
    </w:tbl>
    <w:p>
      <w:pPr>
        <w:spacing w:after="240" w:before="240"/>
        <w:jc w:val="center"/>
      </w:pPr>
      <w:r>
        <w:rPr>
          <w:rFonts w:ascii="Arial" w:cs="Arial" w:eastAsia="Arial" w:hAnsi="Arial"/>
          <w:b/>
          <w:bCs/>
          <w:sz w:val="32"/>
          <w:szCs w:val="32"/>
        </w:rPr>
        <w:t xml:space="preserve">Список сокращений:</w:t>
      </w:r>
    </w:p>
    <w:p>
      <w:pPr>
        <w:tabs>
          <w:tab w:val="right" w:pos="10178"/>
        </w:tabs>
        <w:spacing w:after="120"/>
      </w:pPr>
      <w:r>
        <w:rPr>
          <w:rFonts w:ascii="Arial" w:cs="Arial" w:eastAsia="Arial" w:hAnsi="Arial"/>
          <w:b/>
          <w:bCs/>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и социального развития Кыргызской Республики</w:t>
      </w:r>
    </w:p>
    <w:p>
      <w:pPr>
        <w:tabs>
          <w:tab w:val="right" w:pos="10178"/>
        </w:tabs>
        <w:spacing w:after="120"/>
      </w:pPr>
      <w:r>
        <w:rPr>
          <w:rFonts w:ascii="Arial" w:cs="Arial" w:eastAsia="Arial" w:hAnsi="Arial"/>
          <w:b/>
          <w:bCs/>
          <w:sz w:val="24"/>
          <w:szCs w:val="24"/>
        </w:rPr>
        <w:t xml:space="preserve">МТСР</w:t>
      </w:r>
      <w:r>
        <w:rPr>
          <w:rFonts w:ascii="Arial" w:cs="Arial" w:eastAsia="Arial" w:hAnsi="Arial"/>
          <w:sz w:val="24"/>
          <w:szCs w:val="24"/>
        </w:rPr>
        <w:t xml:space="preserve">	</w:t>
      </w:r>
      <w:r>
        <w:rPr>
          <w:rFonts w:ascii="Arial" w:cs="Arial" w:eastAsia="Arial" w:hAnsi="Arial"/>
          <w:sz w:val="24"/>
          <w:szCs w:val="24"/>
        </w:rPr>
        <w:t xml:space="preserve">Министерство труда, миграции и молодежи Кыргызской Республики</w:t>
      </w:r>
    </w:p>
    <w:p>
      <w:pPr>
        <w:tabs>
          <w:tab w:val="right" w:pos="10178"/>
        </w:tabs>
        <w:spacing w:after="120"/>
      </w:pPr>
      <w:r>
        <w:rPr>
          <w:rFonts w:ascii="Arial" w:cs="Arial" w:eastAsia="Arial" w:hAnsi="Arial"/>
          <w:b/>
          <w:bCs/>
          <w:sz w:val="24"/>
          <w:szCs w:val="24"/>
        </w:rPr>
        <w:t xml:space="preserve">МФ</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b/>
          <w:bCs/>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b/>
          <w:bCs/>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Кыргызской Республики</w:t>
      </w:r>
    </w:p>
    <w:p>
      <w:pPr>
        <w:tabs>
          <w:tab w:val="right" w:pos="10178"/>
        </w:tabs>
        <w:spacing w:after="120"/>
      </w:pPr>
      <w:r>
        <w:rPr>
          <w:rFonts w:ascii="Arial" w:cs="Arial" w:eastAsia="Arial" w:hAnsi="Arial"/>
          <w:b/>
          <w:bCs/>
          <w:sz w:val="24"/>
          <w:szCs w:val="24"/>
        </w:rPr>
        <w:t xml:space="preserve">МКИТ</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и туризма Кыргызской Республики</w:t>
      </w:r>
    </w:p>
    <w:p>
      <w:pPr>
        <w:tabs>
          <w:tab w:val="right" w:pos="10178"/>
        </w:tabs>
        <w:spacing w:after="120"/>
      </w:pPr>
      <w:r>
        <w:rPr>
          <w:rFonts w:ascii="Arial" w:cs="Arial" w:eastAsia="Arial" w:hAnsi="Arial"/>
          <w:b/>
          <w:bCs/>
          <w:sz w:val="24"/>
          <w:szCs w:val="24"/>
        </w:rPr>
        <w:t xml:space="preserve">МСХМ</w:t>
      </w:r>
      <w:r>
        <w:rPr>
          <w:rFonts w:ascii="Arial" w:cs="Arial" w:eastAsia="Arial" w:hAnsi="Arial"/>
          <w:sz w:val="24"/>
          <w:szCs w:val="24"/>
        </w:rPr>
        <w:t xml:space="preserve">	</w:t>
      </w:r>
      <w:r>
        <w:rPr>
          <w:rFonts w:ascii="Arial" w:cs="Arial" w:eastAsia="Arial" w:hAnsi="Arial"/>
          <w:sz w:val="24"/>
          <w:szCs w:val="24"/>
        </w:rPr>
        <w:t xml:space="preserve">Министерство сельского хозяйства и мелиорации Кыргызской Республики</w:t>
      </w:r>
    </w:p>
    <w:p>
      <w:pPr>
        <w:tabs>
          <w:tab w:val="right" w:pos="10178"/>
        </w:tabs>
        <w:spacing w:after="120"/>
      </w:pPr>
      <w:r>
        <w:rPr>
          <w:rFonts w:ascii="Arial" w:cs="Arial" w:eastAsia="Arial" w:hAnsi="Arial"/>
          <w:b/>
          <w:bCs/>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b/>
          <w:bCs/>
          <w:sz w:val="24"/>
          <w:szCs w:val="24"/>
        </w:rPr>
        <w:t xml:space="preserve">МЭП</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и промышленности Кыргызской Республики</w:t>
      </w:r>
    </w:p>
    <w:p>
      <w:pPr>
        <w:tabs>
          <w:tab w:val="right" w:pos="10178"/>
        </w:tabs>
        <w:spacing w:after="120"/>
      </w:pPr>
      <w:r>
        <w:rPr>
          <w:rFonts w:ascii="Arial" w:cs="Arial" w:eastAsia="Arial" w:hAnsi="Arial"/>
          <w:b/>
          <w:bCs/>
          <w:sz w:val="24"/>
          <w:szCs w:val="24"/>
        </w:rPr>
        <w:t xml:space="preserve">МЗ</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b/>
          <w:bCs/>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b/>
          <w:bCs/>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b/>
          <w:bCs/>
          <w:sz w:val="24"/>
          <w:szCs w:val="24"/>
        </w:rPr>
        <w:t xml:space="preserve">ГАООСЛХ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охраны окружающей среды и лесного хозяйства при Правительстве Кыргызской Республики</w:t>
      </w:r>
    </w:p>
    <w:p>
      <w:pPr>
        <w:tabs>
          <w:tab w:val="right" w:pos="10178"/>
        </w:tabs>
        <w:spacing w:after="120"/>
      </w:pPr>
      <w:r>
        <w:rPr>
          <w:rFonts w:ascii="Arial" w:cs="Arial" w:eastAsia="Arial" w:hAnsi="Arial"/>
          <w:b/>
          <w:bCs/>
          <w:sz w:val="24"/>
          <w:szCs w:val="24"/>
        </w:rPr>
        <w:t xml:space="preserve">ГАФКС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физической культуры и спорта при Правительстве Кыргызской Республики</w:t>
      </w:r>
    </w:p>
    <w:p>
      <w:pPr>
        <w:tabs>
          <w:tab w:val="right" w:pos="10178"/>
        </w:tabs>
        <w:spacing w:after="120"/>
      </w:pPr>
      <w:r>
        <w:rPr>
          <w:rFonts w:ascii="Arial" w:cs="Arial" w:eastAsia="Arial" w:hAnsi="Arial"/>
          <w:b/>
          <w:bCs/>
          <w:sz w:val="24"/>
          <w:szCs w:val="24"/>
        </w:rPr>
        <w:t xml:space="preserve">ГАМСУМО</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местного самоуправления и межэтнических отношений при Правительстве</w:t>
      </w:r>
    </w:p>
    <w:p>
      <w:pPr>
        <w:spacing w:after="120"/>
        <w:jc w:val="right"/>
      </w:pPr>
      <w:r>
        <w:rPr>
          <w:rFonts w:ascii="Arial" w:cs="Arial" w:eastAsia="Arial" w:hAnsi="Arial"/>
          <w:sz w:val="24"/>
          <w:szCs w:val="24"/>
        </w:rPr>
        <w:t xml:space="preserve">Кыргызской Республики</w:t>
      </w:r>
    </w:p>
    <w:p>
      <w:pPr>
        <w:tabs>
          <w:tab w:val="right" w:pos="10178"/>
        </w:tabs>
        <w:spacing w:after="120"/>
      </w:pPr>
      <w:r>
        <w:rPr>
          <w:rFonts w:ascii="Arial" w:cs="Arial" w:eastAsia="Arial" w:hAnsi="Arial"/>
          <w:b/>
          <w:bCs/>
          <w:sz w:val="24"/>
          <w:szCs w:val="24"/>
        </w:rPr>
        <w:t xml:space="preserve">Г'ААСЖКХ</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Правительстве Кыргызской Республики</w:t>
      </w:r>
    </w:p>
    <w:p>
      <w:pPr>
        <w:tabs>
          <w:tab w:val="right" w:pos="10178"/>
        </w:tabs>
        <w:spacing w:after="120"/>
      </w:pPr>
      <w:r>
        <w:rPr>
          <w:rFonts w:ascii="Arial" w:cs="Arial" w:eastAsia="Arial" w:hAnsi="Arial"/>
          <w:b/>
          <w:bCs/>
          <w:sz w:val="24"/>
          <w:szCs w:val="24"/>
        </w:rPr>
        <w:t xml:space="preserve">ГАГМР</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геологии и минеральным ресурсам при Правительстве Кыргызской Республики</w:t>
      </w:r>
    </w:p>
    <w:p>
      <w:pPr>
        <w:tabs>
          <w:tab w:val="right" w:pos="10178"/>
        </w:tabs>
        <w:spacing w:after="120"/>
      </w:pPr>
      <w:r>
        <w:rPr>
          <w:rFonts w:ascii="Arial" w:cs="Arial" w:eastAsia="Arial" w:hAnsi="Arial"/>
          <w:b/>
          <w:bCs/>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ГРС</w:t>
      </w:r>
      <w:r>
        <w:rPr>
          <w:rFonts w:ascii="Arial" w:cs="Arial" w:eastAsia="Arial" w:hAnsi="Arial"/>
          <w:sz w:val="24"/>
          <w:szCs w:val="24"/>
        </w:rPr>
        <w:t xml:space="preserve">	</w:t>
      </w:r>
      <w:r>
        <w:rPr>
          <w:rFonts w:ascii="Arial" w:cs="Arial" w:eastAsia="Arial" w:hAnsi="Arial"/>
          <w:sz w:val="24"/>
          <w:szCs w:val="24"/>
        </w:rPr>
        <w:t xml:space="preserve">Государственная регистрационная служба при Правительстве Кыргызской Республики</w:t>
      </w:r>
    </w:p>
    <w:p>
      <w:pPr>
        <w:tabs>
          <w:tab w:val="right" w:pos="10178"/>
        </w:tabs>
        <w:spacing w:after="120"/>
      </w:pPr>
      <w:r>
        <w:rPr>
          <w:rFonts w:ascii="Arial" w:cs="Arial" w:eastAsia="Arial" w:hAnsi="Arial"/>
          <w:b/>
          <w:bCs/>
          <w:sz w:val="24"/>
          <w:szCs w:val="24"/>
        </w:rPr>
        <w:t xml:space="preserve">ФОМС</w:t>
      </w:r>
      <w:r>
        <w:rPr>
          <w:rFonts w:ascii="Arial" w:cs="Arial" w:eastAsia="Arial" w:hAnsi="Arial"/>
          <w:sz w:val="24"/>
          <w:szCs w:val="24"/>
        </w:rPr>
        <w:t xml:space="preserve">	</w:t>
      </w:r>
      <w:r>
        <w:rPr>
          <w:rFonts w:ascii="Arial" w:cs="Arial" w:eastAsia="Arial" w:hAnsi="Arial"/>
          <w:sz w:val="24"/>
          <w:szCs w:val="24"/>
        </w:rPr>
        <w:t xml:space="preserve">Фонд обязательного медицинского страхования при Правительстве Кыргызской Республики</w:t>
      </w:r>
    </w:p>
    <w:p>
      <w:pPr>
        <w:tabs>
          <w:tab w:val="right" w:pos="10178"/>
        </w:tabs>
        <w:spacing w:after="120"/>
      </w:pPr>
      <w:r>
        <w:rPr>
          <w:rFonts w:ascii="Arial" w:cs="Arial" w:eastAsia="Arial" w:hAnsi="Arial"/>
          <w:b/>
          <w:bCs/>
          <w:sz w:val="24"/>
          <w:szCs w:val="24"/>
        </w:rPr>
        <w:t xml:space="preserve">ГИЭТБ</w:t>
      </w:r>
      <w:r>
        <w:rPr>
          <w:rFonts w:ascii="Arial" w:cs="Arial" w:eastAsia="Arial" w:hAnsi="Arial"/>
          <w:sz w:val="24"/>
          <w:szCs w:val="24"/>
        </w:rPr>
        <w:t xml:space="preserve">	</w:t>
      </w:r>
      <w:r>
        <w:rPr>
          <w:rFonts w:ascii="Arial" w:cs="Arial" w:eastAsia="Arial" w:hAnsi="Arial"/>
          <w:sz w:val="24"/>
          <w:szCs w:val="24"/>
        </w:rPr>
        <w:t xml:space="preserve">Государственная инспекция по экологической и технической безопасности при Правительстве Кыргызской Республики</w:t>
      </w:r>
    </w:p>
    <w:p>
      <w:pPr>
        <w:tabs>
          <w:tab w:val="right" w:pos="10178"/>
        </w:tabs>
        <w:spacing w:after="120"/>
      </w:pPr>
      <w:r>
        <w:rPr>
          <w:rFonts w:ascii="Arial" w:cs="Arial" w:eastAsia="Arial" w:hAnsi="Arial"/>
          <w:b/>
          <w:bCs/>
          <w:sz w:val="24"/>
          <w:szCs w:val="24"/>
        </w:rPr>
        <w:t xml:space="preserve">Соцфонд</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w:t>
      </w:r>
    </w:p>
    <w:p>
      <w:pPr>
        <w:tabs>
          <w:tab w:val="right" w:pos="10178"/>
        </w:tabs>
        <w:spacing w:after="120"/>
      </w:pPr>
      <w:r>
        <w:rPr>
          <w:rFonts w:ascii="Arial" w:cs="Arial" w:eastAsia="Arial" w:hAnsi="Arial"/>
          <w:b/>
          <w:bCs/>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местные государственные администрации</w:t>
      </w:r>
    </w:p>
    <w:p>
      <w:pPr>
        <w:tabs>
          <w:tab w:val="right" w:pos="10178"/>
        </w:tabs>
        <w:spacing w:after="120"/>
      </w:pPr>
      <w:r>
        <w:rPr>
          <w:rFonts w:ascii="Arial" w:cs="Arial" w:eastAsia="Arial" w:hAnsi="Arial"/>
          <w:b/>
          <w:bCs/>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b/>
          <w:bCs/>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b/>
          <w:bCs/>
          <w:sz w:val="24"/>
          <w:szCs w:val="24"/>
        </w:rPr>
        <w:t xml:space="preserve">АГУПКР</w:t>
      </w:r>
      <w:r>
        <w:rPr>
          <w:rFonts w:ascii="Arial" w:cs="Arial" w:eastAsia="Arial" w:hAnsi="Arial"/>
          <w:sz w:val="24"/>
          <w:szCs w:val="24"/>
        </w:rPr>
        <w:t xml:space="preserve">	</w:t>
      </w:r>
      <w:r>
        <w:rPr>
          <w:rFonts w:ascii="Arial" w:cs="Arial" w:eastAsia="Arial" w:hAnsi="Arial"/>
          <w:sz w:val="24"/>
          <w:szCs w:val="24"/>
        </w:rPr>
        <w:t xml:space="preserve">Академия государственного управления при Президенте Кыргызской Республики</w:t>
      </w:r>
    </w:p>
    <w:p>
      <w:pPr>
        <w:tabs>
          <w:tab w:val="right" w:pos="10178"/>
        </w:tabs>
        <w:spacing w:after="120"/>
      </w:pPr>
      <w:r>
        <w:rPr>
          <w:rFonts w:ascii="Arial" w:cs="Arial" w:eastAsia="Arial" w:hAnsi="Arial"/>
          <w:b/>
          <w:bCs/>
          <w:sz w:val="24"/>
          <w:szCs w:val="24"/>
        </w:rPr>
        <w:t xml:space="preserve">ОТРК</w:t>
      </w:r>
      <w:r>
        <w:rPr>
          <w:rFonts w:ascii="Arial" w:cs="Arial" w:eastAsia="Arial" w:hAnsi="Arial"/>
          <w:sz w:val="24"/>
          <w:szCs w:val="24"/>
        </w:rPr>
        <w:t xml:space="preserve">	</w:t>
      </w:r>
      <w:r>
        <w:rPr>
          <w:rFonts w:ascii="Arial" w:cs="Arial" w:eastAsia="Arial" w:hAnsi="Arial"/>
          <w:sz w:val="24"/>
          <w:szCs w:val="24"/>
        </w:rPr>
        <w:t xml:space="preserve">Общественная телерадиовещательная корпорация Кыргызской Республики</w:t>
      </w:r>
    </w:p>
    <w:p>
      <w:pPr>
        <w:tabs>
          <w:tab w:val="right" w:pos="10178"/>
        </w:tabs>
        <w:spacing w:after="120"/>
      </w:pPr>
      <w:r>
        <w:rPr>
          <w:rFonts w:ascii="Arial" w:cs="Arial" w:eastAsia="Arial" w:hAnsi="Arial"/>
          <w:b/>
          <w:bCs/>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b/>
          <w:bCs/>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Организации Объединенных Наций</w:t>
      </w:r>
    </w:p>
    <w:p>
      <w:pPr>
        <w:tabs>
          <w:tab w:val="right" w:pos="10178"/>
        </w:tabs>
        <w:spacing w:after="120"/>
      </w:pPr>
      <w:r>
        <w:rPr>
          <w:rFonts w:ascii="Arial" w:cs="Arial" w:eastAsia="Arial" w:hAnsi="Arial"/>
          <w:b/>
          <w:bCs/>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w:t>
      </w:r>
    </w:p>
    <w:p>
      <w:pPr>
        <w:tabs>
          <w:tab w:val="right" w:pos="10178"/>
        </w:tabs>
        <w:spacing w:after="120"/>
      </w:pPr>
      <w:r>
        <w:rPr>
          <w:rFonts w:ascii="Arial" w:cs="Arial" w:eastAsia="Arial" w:hAnsi="Arial"/>
          <w:b/>
          <w:bCs/>
          <w:sz w:val="24"/>
          <w:szCs w:val="24"/>
        </w:rPr>
        <w:t xml:space="preserve">ВПП ООН</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программа Организации Объединенных Наций</w:t>
      </w:r>
    </w:p>
    <w:p>
      <w:pPr>
        <w:tabs>
          <w:tab w:val="right" w:pos="10178"/>
        </w:tabs>
        <w:spacing w:after="120"/>
      </w:pPr>
      <w:r>
        <w:rPr>
          <w:rFonts w:ascii="Arial" w:cs="Arial" w:eastAsia="Arial" w:hAnsi="Arial"/>
          <w:b/>
          <w:bCs/>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b/>
          <w:bCs/>
          <w:sz w:val="24"/>
          <w:szCs w:val="24"/>
        </w:rPr>
        <w:t xml:space="preserve">АРДИ</w:t>
      </w:r>
      <w:r>
        <w:rPr>
          <w:rFonts w:ascii="Arial" w:cs="Arial" w:eastAsia="Arial" w:hAnsi="Arial"/>
          <w:sz w:val="24"/>
          <w:szCs w:val="24"/>
        </w:rPr>
        <w:t xml:space="preserve">	</w:t>
      </w:r>
      <w:r>
        <w:rPr>
          <w:rFonts w:ascii="Arial" w:cs="Arial" w:eastAsia="Arial" w:hAnsi="Arial"/>
          <w:sz w:val="24"/>
          <w:szCs w:val="24"/>
        </w:rPr>
        <w:t xml:space="preserve">Ассоциация родителей детей-инвалидов</w:t>
      </w:r>
    </w:p>
    <w:p>
      <w:pPr>
        <w:tabs>
          <w:tab w:val="right" w:pos="10178"/>
        </w:tabs>
        <w:spacing w:after="120"/>
      </w:pPr>
      <w:r>
        <w:rPr>
          <w:rFonts w:ascii="Arial" w:cs="Arial" w:eastAsia="Arial" w:hAnsi="Arial"/>
          <w:b/>
          <w:bCs/>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международные организации</w:t>
      </w:r>
    </w:p>
    <w:p>
      <w:pPr>
        <w:tabs>
          <w:tab w:val="right" w:pos="10178"/>
        </w:tabs>
        <w:spacing w:after="120"/>
      </w:pPr>
      <w:r>
        <w:rPr>
          <w:rFonts w:ascii="Arial" w:cs="Arial" w:eastAsia="Arial" w:hAnsi="Arial"/>
          <w:b/>
          <w:bCs/>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некоммерческие организации</w:t>
      </w:r>
    </w:p>
    <w:p>
      <w:pPr>
        <w:tabs>
          <w:tab w:val="right" w:pos="10178"/>
        </w:tabs>
        <w:spacing w:after="120"/>
      </w:pPr>
      <w:r>
        <w:rPr>
          <w:rFonts w:ascii="Arial" w:cs="Arial" w:eastAsia="Arial" w:hAnsi="Arial"/>
          <w:b/>
          <w:bCs/>
          <w:sz w:val="24"/>
          <w:szCs w:val="24"/>
        </w:rPr>
        <w:t xml:space="preserve">ФПК</w:t>
      </w:r>
      <w:r>
        <w:rPr>
          <w:rFonts w:ascii="Arial" w:cs="Arial" w:eastAsia="Arial" w:hAnsi="Arial"/>
          <w:sz w:val="24"/>
          <w:szCs w:val="24"/>
        </w:rPr>
        <w:t xml:space="preserve">	</w:t>
      </w:r>
      <w:r>
        <w:rPr>
          <w:rFonts w:ascii="Arial" w:cs="Arial" w:eastAsia="Arial" w:hAnsi="Arial"/>
          <w:sz w:val="24"/>
          <w:szCs w:val="24"/>
        </w:rPr>
        <w:t xml:space="preserve">Федерация профсоюзов Кыргызстана</w:t>
      </w:r>
    </w:p>
    <w:p>
      <w:pPr>
        <w:tabs>
          <w:tab w:val="right" w:pos="10178"/>
        </w:tabs>
        <w:spacing w:after="120"/>
      </w:pPr>
      <w:r>
        <w:rPr>
          <w:rFonts w:ascii="Arial" w:cs="Arial" w:eastAsia="Arial" w:hAnsi="Arial"/>
          <w:b/>
          <w:bCs/>
          <w:sz w:val="24"/>
          <w:szCs w:val="24"/>
        </w:rPr>
        <w:t xml:space="preserve">МСЭК</w:t>
      </w:r>
      <w:r>
        <w:rPr>
          <w:rFonts w:ascii="Arial" w:cs="Arial" w:eastAsia="Arial" w:hAnsi="Arial"/>
          <w:sz w:val="24"/>
          <w:szCs w:val="24"/>
        </w:rPr>
        <w:t xml:space="preserve">	</w:t>
      </w:r>
      <w:r>
        <w:rPr>
          <w:rFonts w:ascii="Arial" w:cs="Arial" w:eastAsia="Arial" w:hAnsi="Arial"/>
          <w:sz w:val="24"/>
          <w:szCs w:val="24"/>
        </w:rPr>
        <w:t xml:space="preserve">медико-социальные экспертные комиссии</w:t>
      </w:r>
    </w:p>
    <w:p>
      <w:pPr>
        <w:tabs>
          <w:tab w:val="right" w:pos="10178"/>
        </w:tabs>
        <w:spacing w:after="120"/>
      </w:pPr>
      <w:r>
        <w:rPr>
          <w:rFonts w:ascii="Arial" w:cs="Arial" w:eastAsia="Arial" w:hAnsi="Arial"/>
          <w:b/>
          <w:bCs/>
          <w:sz w:val="24"/>
          <w:szCs w:val="24"/>
        </w:rPr>
        <w:t xml:space="preserve">ЦСМ</w:t>
      </w:r>
      <w:r>
        <w:rPr>
          <w:rFonts w:ascii="Arial" w:cs="Arial" w:eastAsia="Arial" w:hAnsi="Arial"/>
          <w:sz w:val="24"/>
          <w:szCs w:val="24"/>
        </w:rPr>
        <w:t xml:space="preserve">	</w:t>
      </w:r>
      <w:r>
        <w:rPr>
          <w:rFonts w:ascii="Arial" w:cs="Arial" w:eastAsia="Arial" w:hAnsi="Arial"/>
          <w:sz w:val="24"/>
          <w:szCs w:val="24"/>
        </w:rPr>
        <w:t xml:space="preserve">Центр семейной медицины</w:t>
      </w:r>
    </w:p>
    <w:p>
      <w:pPr>
        <w:tabs>
          <w:tab w:val="right" w:pos="10178"/>
        </w:tabs>
        <w:spacing w:after="120"/>
      </w:pPr>
      <w:r>
        <w:rPr>
          <w:rFonts w:ascii="Arial" w:cs="Arial" w:eastAsia="Arial" w:hAnsi="Arial"/>
          <w:b/>
          <w:bCs/>
          <w:sz w:val="24"/>
          <w:szCs w:val="24"/>
        </w:rPr>
        <w:t xml:space="preserve">ГМД</w:t>
      </w:r>
      <w:r>
        <w:rPr>
          <w:rFonts w:ascii="Arial" w:cs="Arial" w:eastAsia="Arial" w:hAnsi="Arial"/>
          <w:sz w:val="24"/>
          <w:szCs w:val="24"/>
        </w:rPr>
        <w:t xml:space="preserve">	</w:t>
      </w:r>
      <w:r>
        <w:rPr>
          <w:rFonts w:ascii="Arial" w:cs="Arial" w:eastAsia="Arial" w:hAnsi="Arial"/>
          <w:sz w:val="24"/>
          <w:szCs w:val="24"/>
        </w:rPr>
        <w:t xml:space="preserve">гарантированный минимальный доход</w:t>
      </w:r>
    </w:p>
    <w:p>
      <w:pPr>
        <w:tabs>
          <w:tab w:val="right" w:pos="10178"/>
        </w:tabs>
        <w:spacing w:after="120"/>
      </w:pPr>
      <w:r>
        <w:rPr>
          <w:rFonts w:ascii="Arial" w:cs="Arial" w:eastAsia="Arial" w:hAnsi="Arial"/>
          <w:b/>
          <w:bCs/>
          <w:sz w:val="24"/>
          <w:szCs w:val="24"/>
        </w:rPr>
        <w:t xml:space="preserve">ЕПМС</w:t>
      </w:r>
      <w:r>
        <w:rPr>
          <w:rFonts w:ascii="Arial" w:cs="Arial" w:eastAsia="Arial" w:hAnsi="Arial"/>
          <w:sz w:val="24"/>
          <w:szCs w:val="24"/>
        </w:rPr>
        <w:t xml:space="preserve">	</w:t>
      </w:r>
      <w:r>
        <w:rPr>
          <w:rFonts w:ascii="Arial" w:cs="Arial" w:eastAsia="Arial" w:hAnsi="Arial"/>
          <w:sz w:val="24"/>
          <w:szCs w:val="24"/>
        </w:rPr>
        <w:t xml:space="preserve">ежемесячное пособие малообеспеченным семьям, имеющим детей</w:t>
      </w:r>
    </w:p>
    <w:p>
      <w:pPr>
        <w:tabs>
          <w:tab w:val="right" w:pos="10178"/>
        </w:tabs>
        <w:spacing w:after="120"/>
      </w:pPr>
      <w:r>
        <w:rPr>
          <w:rFonts w:ascii="Arial" w:cs="Arial" w:eastAsia="Arial" w:hAnsi="Arial"/>
          <w:b/>
          <w:bCs/>
          <w:sz w:val="24"/>
          <w:szCs w:val="24"/>
        </w:rPr>
        <w:t xml:space="preserve">ЕСП</w:t>
      </w:r>
      <w:r>
        <w:rPr>
          <w:rFonts w:ascii="Arial" w:cs="Arial" w:eastAsia="Arial" w:hAnsi="Arial"/>
          <w:sz w:val="24"/>
          <w:szCs w:val="24"/>
        </w:rPr>
        <w:t xml:space="preserve">	</w:t>
      </w:r>
      <w:r>
        <w:rPr>
          <w:rFonts w:ascii="Arial" w:cs="Arial" w:eastAsia="Arial" w:hAnsi="Arial"/>
          <w:sz w:val="24"/>
          <w:szCs w:val="24"/>
        </w:rPr>
        <w:t xml:space="preserve">ежемесячное социальное пособие</w:t>
      </w:r>
    </w:p>
    <w:p>
      <w:pPr>
        <w:tabs>
          <w:tab w:val="right" w:pos="10178"/>
        </w:tabs>
        <w:spacing w:after="120"/>
      </w:pPr>
      <w:r>
        <w:rPr>
          <w:rFonts w:ascii="Arial" w:cs="Arial" w:eastAsia="Arial" w:hAnsi="Arial"/>
          <w:b/>
          <w:bCs/>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лицо с ограниченными возможностями здоровья</w:t>
      </w:r>
    </w:p>
    <w:p>
      <w:pPr>
        <w:tabs>
          <w:tab w:val="right" w:pos="10178"/>
        </w:tabs>
        <w:spacing w:after="120"/>
      </w:pPr>
      <w:r>
        <w:rPr>
          <w:rFonts w:ascii="Arial" w:cs="Arial" w:eastAsia="Arial" w:hAnsi="Arial"/>
          <w:b/>
          <w:bCs/>
          <w:sz w:val="24"/>
          <w:szCs w:val="24"/>
        </w:rPr>
        <w:t xml:space="preserve">ТЖС</w:t>
      </w:r>
      <w:r>
        <w:rPr>
          <w:rFonts w:ascii="Arial" w:cs="Arial" w:eastAsia="Arial" w:hAnsi="Arial"/>
          <w:sz w:val="24"/>
          <w:szCs w:val="24"/>
        </w:rPr>
        <w:t xml:space="preserve">	</w:t>
      </w:r>
      <w:r>
        <w:rPr>
          <w:rFonts w:ascii="Arial" w:cs="Arial" w:eastAsia="Arial" w:hAnsi="Arial"/>
          <w:sz w:val="24"/>
          <w:szCs w:val="24"/>
        </w:rPr>
        <w:t xml:space="preserve">трудная жизненная ситуация</w:t>
      </w:r>
    </w:p>
    <w:p>
      <w:pPr>
        <w:tabs>
          <w:tab w:val="right" w:pos="10178"/>
        </w:tabs>
        <w:spacing w:after="120"/>
      </w:pPr>
      <w:r>
        <w:rPr>
          <w:rFonts w:ascii="Arial" w:cs="Arial" w:eastAsia="Arial" w:hAnsi="Arial"/>
          <w:b/>
          <w:bCs/>
          <w:sz w:val="24"/>
          <w:szCs w:val="24"/>
        </w:rPr>
        <w:t xml:space="preserve">РБ</w:t>
      </w:r>
      <w:r>
        <w:rPr>
          <w:rFonts w:ascii="Arial" w:cs="Arial" w:eastAsia="Arial" w:hAnsi="Arial"/>
          <w:sz w:val="24"/>
          <w:szCs w:val="24"/>
        </w:rPr>
        <w:t xml:space="preserve">	</w:t>
      </w:r>
      <w:r>
        <w:rPr>
          <w:rFonts w:ascii="Arial" w:cs="Arial" w:eastAsia="Arial" w:hAnsi="Arial"/>
          <w:sz w:val="24"/>
          <w:szCs w:val="24"/>
        </w:rPr>
        <w:t xml:space="preserve">республиканский бюджет</w:t>
      </w:r>
    </w:p>
    <w:p>
      <w:pPr>
        <w:tabs>
          <w:tab w:val="right" w:pos="10178"/>
        </w:tabs>
        <w:spacing w:after="120"/>
      </w:pPr>
      <w:r>
        <w:rPr>
          <w:rFonts w:ascii="Arial" w:cs="Arial" w:eastAsia="Arial" w:hAnsi="Arial"/>
          <w:b/>
          <w:bCs/>
          <w:sz w:val="24"/>
          <w:szCs w:val="24"/>
        </w:rPr>
        <w:t xml:space="preserve">МБ</w:t>
      </w:r>
      <w:r>
        <w:rPr>
          <w:rFonts w:ascii="Arial" w:cs="Arial" w:eastAsia="Arial" w:hAnsi="Arial"/>
          <w:sz w:val="24"/>
          <w:szCs w:val="24"/>
        </w:rPr>
        <w:t xml:space="preserve">	</w:t>
      </w:r>
      <w:r>
        <w:rPr>
          <w:rFonts w:ascii="Arial" w:cs="Arial" w:eastAsia="Arial" w:hAnsi="Arial"/>
          <w:sz w:val="24"/>
          <w:szCs w:val="24"/>
        </w:rPr>
        <w:t xml:space="preserve">местный бюджет</w:t>
      </w:r>
    </w:p>
    <w:p>
      <w:pPr>
        <w:tabs>
          <w:tab w:val="right" w:pos="10178"/>
        </w:tabs>
        <w:spacing w:after="120"/>
      </w:pPr>
      <w:r>
        <w:rPr>
          <w:rFonts w:ascii="Arial" w:cs="Arial" w:eastAsia="Arial" w:hAnsi="Arial"/>
          <w:b/>
          <w:bCs/>
          <w:sz w:val="24"/>
          <w:szCs w:val="24"/>
        </w:rPr>
        <w:t xml:space="preserve">НПА</w:t>
      </w:r>
      <w:r>
        <w:rPr>
          <w:rFonts w:ascii="Arial" w:cs="Arial" w:eastAsia="Arial" w:hAnsi="Arial"/>
          <w:sz w:val="24"/>
          <w:szCs w:val="24"/>
        </w:rPr>
        <w:t xml:space="preserve">	</w:t>
      </w:r>
      <w:r>
        <w:rPr>
          <w:rFonts w:ascii="Arial" w:cs="Arial" w:eastAsia="Arial" w:hAnsi="Arial"/>
          <w:sz w:val="24"/>
          <w:szCs w:val="24"/>
        </w:rPr>
        <w:t xml:space="preserve">нормативные правовые акты</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3yebdlrno6d28m5qfuded" Type="http://schemas.openxmlformats.org/officeDocument/2006/relationships/hyperlink" Target="http://kodeks.duckdns.org/document/11941" TargetMode="External"/><Relationship Id="rIda0f-ei7f10f3lc4af2uyq" Type="http://schemas.openxmlformats.org/officeDocument/2006/relationships/hyperlink" Target="http://kodeks.duckdns.org/document/97347" TargetMode="External"/><Relationship Id="rIdzlcfzono7g5crhaxiw3ep" Type="http://schemas.openxmlformats.org/officeDocument/2006/relationships/hyperlink" Target="http://kodeks.duckdns.org/document/99493" TargetMode="External"/><Relationship Id="rIda08xiinbpa1whxs6iaaog" Type="http://schemas.openxmlformats.org/officeDocument/2006/relationships/hyperlink" Target="http://kodeks.duckdns.org/document/92880#&#1088;1" TargetMode="External"/><Relationship Id="rIdknpkp84oeoq5hkv9c1o2h" Type="http://schemas.openxmlformats.org/officeDocument/2006/relationships/hyperlink" Target="http://kodeks.duckdns.org/document/92880" TargetMode="External"/><Relationship Id="rIdwlydrcgknylsf5v2qlvx4" Type="http://schemas.openxmlformats.org/officeDocument/2006/relationships/hyperlink" Target="http://kodeks.duckdns.org/document/92880#&#1088;1" TargetMode="External"/><Relationship Id="rId7syceedvglz_0wveugbqs" Type="http://schemas.openxmlformats.org/officeDocument/2006/relationships/hyperlink" Target="http://kodeks.duckdns.org/document/61542" TargetMode="External"/><Relationship Id="rId_hdkfmf8ny0g4zjvexckr" Type="http://schemas.openxmlformats.org/officeDocument/2006/relationships/hyperlink" Target="http://kodeks.duckdns.org/document/61526" TargetMode="External"/><Relationship Id="rId1ldzx80irefabhetrjsjt" Type="http://schemas.openxmlformats.org/officeDocument/2006/relationships/hyperlink" Target="http://kodeks.duckdns.org/document/53067" TargetMode="External"/><Relationship Id="rIdjqikitvlexjaxwyrroxpp" Type="http://schemas.openxmlformats.org/officeDocument/2006/relationships/hyperlink" Target="http://kodeks.duckdns.org/document/53066" TargetMode="External"/><Relationship Id="rIdchp39hxkymfy92rhivduo" Type="http://schemas.openxmlformats.org/officeDocument/2006/relationships/hyperlink" Target="http://kodeks.duckdns.org/document/92880#&#1088;1" TargetMode="External"/><Relationship Id="rIduup7sogyvbvl7bneseyv-" Type="http://schemas.openxmlformats.org/officeDocument/2006/relationships/hyperlink" Target="http://kodeks.duckdns.org/document/202913" TargetMode="External"/><Relationship Id="rIdmmc36rle5ojvggifqevov" Type="http://schemas.openxmlformats.org/officeDocument/2006/relationships/hyperlink" Target="http://kodeks.duckdns.org/document/92880#&#1088;1" TargetMode="External"/><Relationship Id="rIdbhqqzzxh-sucdskj5kjhr" Type="http://schemas.openxmlformats.org/officeDocument/2006/relationships/hyperlink" Target="http://kodeks.duckdns.org/document/92880#&#1088;1" TargetMode="External"/><Relationship Id="rIdhjb02bksduhhbt6ym7r21" Type="http://schemas.openxmlformats.org/officeDocument/2006/relationships/hyperlink" Target="http://kodeks.duckdns.org/document/92880#&#1088;1" TargetMode="External"/><Relationship Id="rIdlrwq3nx1nuxzckcrprg1c" Type="http://schemas.openxmlformats.org/officeDocument/2006/relationships/hyperlink" Target="http://kodeks.duckdns.org/document/92880#&#1088;1" TargetMode="External"/><Relationship Id="rIdyrgyt9skjkeivf19ikq1e" Type="http://schemas.openxmlformats.org/officeDocument/2006/relationships/hyperlink" Target="http://kodeks.duckdns.org/document/92880#&#1088;1" TargetMode="External"/><Relationship Id="rIdz49zi0gczy0_abxzv_wjz" Type="http://schemas.openxmlformats.org/officeDocument/2006/relationships/hyperlink" Target="http://kodeks.duckdns.org/document/92880#&#1088;1" TargetMode="External"/><Relationship Id="rIdguovwjpnfqcmblmlpzwhz" Type="http://schemas.openxmlformats.org/officeDocument/2006/relationships/hyperlink" Target="http://kodeks.duckdns.org/document/92880#&#1088;1" TargetMode="External"/><Relationship Id="rId4ahyh-ol86cepz2efn6oe" Type="http://schemas.openxmlformats.org/officeDocument/2006/relationships/hyperlink" Target="http://kodeks.duckdns.org/document/203700" TargetMode="External"/><Relationship Id="rId1ttdcxunzfakippppl19e" Type="http://schemas.openxmlformats.org/officeDocument/2006/relationships/hyperlink" Target="http://kodeks.duckdns.org/document/202913" TargetMode="External"/><Relationship Id="rIdzfko9nykbb8ofav68oav9" Type="http://schemas.openxmlformats.org/officeDocument/2006/relationships/hyperlink" Target="http://kodeks.duckdns.org/document/94731" TargetMode="External"/><Relationship Id="rId-ckwpaatcyrame-nskr7l" Type="http://schemas.openxmlformats.org/officeDocument/2006/relationships/hyperlink" Target="http://kodeks.duckdns.org/document/94732" TargetMode="External"/><Relationship Id="rIdbk0ui1jz2zhiydqw5iz7k" Type="http://schemas.openxmlformats.org/officeDocument/2006/relationships/hyperlink" Target="http://kodeks.duckdns.org/document/94860" TargetMode="External"/><Relationship Id="rIdmsuhzjfyvshmarqugcf3y" Type="http://schemas.openxmlformats.org/officeDocument/2006/relationships/hyperlink" Target="http://kodeks.duckdns.org/document/94861" TargetMode="External"/><Relationship Id="rId8n-7ttpfxi_puvlpewmro" Type="http://schemas.openxmlformats.org/officeDocument/2006/relationships/hyperlink" Target="http://kodeks.duckdns.org/document/94732" TargetMode="External"/><Relationship Id="rIdopicrhpm0gkfrjzeuzial" Type="http://schemas.openxmlformats.org/officeDocument/2006/relationships/hyperlink" Target="http://kodeks.duckdns.org/document/92880#&#1088;1" TargetMode="External"/><Relationship Id="rIdids-y3xxj0pevazmi9djm" Type="http://schemas.openxmlformats.org/officeDocument/2006/relationships/hyperlink" Target="http://kodeks.duckdns.org/document/92880#&#1088;1" TargetMode="External"/><Relationship Id="rIdqe6aspbpjoxfjpywzzg6o" Type="http://schemas.openxmlformats.org/officeDocument/2006/relationships/hyperlink" Target="http://kodeks.duckdns.org/document/99493" TargetMode="External"/><Relationship Id="rIdebtfpwhg6s0nsbh-nzgnn" Type="http://schemas.openxmlformats.org/officeDocument/2006/relationships/hyperlink" Target="http://kodeks.duckdns.org/document/99493" TargetMode="External"/><Relationship Id="rIdfirtlgxqqwffeiea630fo" Type="http://schemas.openxmlformats.org/officeDocument/2006/relationships/hyperlink" Target="http://kodeks.duckdns.org/document/92880" TargetMode="External"/><Relationship Id="rId3ggeavk4bizuezsd-7rrz" Type="http://schemas.openxmlformats.org/officeDocument/2006/relationships/hyperlink" Target="http://kodeks.duckdns.org/document/202373" TargetMode="External"/><Relationship Id="rIdh3jtybxewzuqyzusvkfwg" Type="http://schemas.openxmlformats.org/officeDocument/2006/relationships/hyperlink" Target="http://kodeks.duckdns.org/document/99493" TargetMode="External"/><Relationship Id="rIdqlztpdagw89j1u_xgi1qe" Type="http://schemas.openxmlformats.org/officeDocument/2006/relationships/hyperlink" Target="http://kodeks.duckdns.org/document/97201#&#1088;1" TargetMode="External"/><Relationship Id="rIdugs23xiddxlffaipyerv_" Type="http://schemas.openxmlformats.org/officeDocument/2006/relationships/hyperlink" Target="http://kodeks.duckdns.org/document/97201" TargetMode="External"/><Relationship Id="rIdi_pweycdrh02u6wn8ujwj" Type="http://schemas.openxmlformats.org/officeDocument/2006/relationships/hyperlink" Target="http://kodeks.duckdns.org/document/99493" TargetMode="External"/><Relationship Id="rIdxjmqbhb13svmfqbuayzx8" Type="http://schemas.openxmlformats.org/officeDocument/2006/relationships/hyperlink" Target="http://kodeks.duckdns.org/document/943" TargetMode="External"/><Relationship Id="rIdmpgoryd1vsa7btl5jajpx" Type="http://schemas.openxmlformats.org/officeDocument/2006/relationships/hyperlink" Target="http://kodeks.duckdns.org/document/92158" TargetMode="External"/><Relationship Id="rIdyyvrghlfao4vbu1nhvvfx" Type="http://schemas.openxmlformats.org/officeDocument/2006/relationships/hyperlink" Target="http://kodeks.duckdns.org/document/122" TargetMode="External"/><Relationship Id="rIde7cnm2nfd_lsrtizpsfy8" Type="http://schemas.openxmlformats.org/officeDocument/2006/relationships/hyperlink" Target="http://kodeks.duckdns.org/document/99493" TargetMode="External"/><Relationship Id="rIdqorak5gx1vxwpraw6ylbx" Type="http://schemas.openxmlformats.org/officeDocument/2006/relationships/hyperlink" Target="http://kodeks.duckdns.org/document/99493" TargetMode="External"/><Relationship Id="rIdw3nijn_5l5udgvuta165d" Type="http://schemas.openxmlformats.org/officeDocument/2006/relationships/hyperlink" Target="http://kodeks.duckdns.org/document/21148" TargetMode="External"/><Relationship Id="rIdjfuhjrzstwtmwdwbh9ksu" Type="http://schemas.openxmlformats.org/officeDocument/2006/relationships/hyperlink" Target="http://kodeks.duckdns.org/document/21148#&#1088;1" TargetMode="External"/><Relationship Id="rIdqdbj6lr0hgc3nmcbgnrw-" Type="http://schemas.openxmlformats.org/officeDocument/2006/relationships/hyperlink" Target="http://kodeks.duckdns.org/document/21148#&#1088;1" TargetMode="External"/><Relationship Id="rIdb4oqswmpbdittsbztnvym" Type="http://schemas.openxmlformats.org/officeDocument/2006/relationships/hyperlink" Target="http://kodeks.duckdns.org/document/99493" TargetMode="External"/><Relationship Id="rIdz7igevolb23g4vauj7la-" Type="http://schemas.openxmlformats.org/officeDocument/2006/relationships/hyperlink" Target="http://kodeks.duckdns.org/document/99493" TargetMode="External"/><Relationship Id="rIduu-uzohllkwfkzqojqmlu" Type="http://schemas.openxmlformats.org/officeDocument/2006/relationships/hyperlink" Target="http://kodeks.duckdns.org/document/99493" TargetMode="External"/><Relationship Id="rIdjuf5b6lmw21kdv26qhsjv" Type="http://schemas.openxmlformats.org/officeDocument/2006/relationships/hyperlink" Target="http://kodeks.duckdns.org/document/96339" TargetMode="External"/><Relationship Id="rIdlcbywsnatnihl4a1glkpb" Type="http://schemas.openxmlformats.org/officeDocument/2006/relationships/hyperlink" Target="http://kodeks.duckdns.org/document/203700" TargetMode="External"/><Relationship Id="rIdtnk-znmz309cogidrmlhh" Type="http://schemas.openxmlformats.org/officeDocument/2006/relationships/hyperlink" Target="http://kodeks.duckdns.org/document/61038" TargetMode="External"/><Relationship Id="rIdlelda-ohjci-xli0nr4dj" Type="http://schemas.openxmlformats.org/officeDocument/2006/relationships/hyperlink" Target="http://kodeks.duckdns.org/document/99493" TargetMode="External"/><Relationship Id="rIdad3quyjcukjruiubibps2" Type="http://schemas.openxmlformats.org/officeDocument/2006/relationships/hyperlink" Target="http://kodeks.duckdns.org/document/99493" TargetMode="External"/><Relationship Id="rId7" Type="http://schemas.openxmlformats.org/officeDocument/2006/relationships/image" Target="media/93bec1c1538034512fe33c1434ae0ea86b639d33.png"/><Relationship Id="rId6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2026-09-23T06:57:22.682Z</dcterms:created>
  <dcterms:modified xsi:type="dcterms:W3CDTF">2026-09-23T06:57:22.682Z</dcterms:modified>
</cp:coreProperties>
</file>

<file path=docProps/custom.xml><?xml version="1.0" encoding="utf-8"?>
<Properties xmlns="http://schemas.openxmlformats.org/officeDocument/2006/custom-properties" xmlns:vt="http://schemas.openxmlformats.org/officeDocument/2006/docPropsVTypes"/>
</file>