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u0gdui6gbrvsaxc7hp_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qgzeideo_bc17waum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gjyl4mv6pgrwt9t225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</w:t>
      </w:r>
      <w:hyperlink w:history="1" r:id="rIdp7xocyuogheq3a6eeak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инициированный депутатами Жогорку Кенеша Кыргызской Республики Абдылдаевым М.Ю., Абдиевым К., Калмаматовым А.А. и Айдаровым Н.А.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-oc6jyjn9im4byln06l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марта 2015 года № 142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системы", инициированный депутатами Жогорку Кенеша Кыргызской Республики Абдылдаевым М.Ю., Абдиевым К., Калмаматовым А.А. и Айдаровым Н.А.,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разработан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Генеральном штабе Вооруженных Сил Кыргызской Республики" от 6 февраля 2014 года № 23, в рамках реализации комплекса мероприятий по реформированию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обороне и Вооруженных Силах Кыргызской Республики" Вооруженные Силы состоят из органов военного управления, сухопутных соединений, частей и учреждений (организаций), Сил воздушной обороны, Национальной гвардии и Пограничной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обороне с применением средств вооруженной борьбы привлекаются воинские формирования государственных органов, в которых законом предусмотрена военная служба, и резервные формирования, создаваемые для решения задач территориальной обороны, (другие воинские формирования).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под понятием "войска" понимается род войск, составляющих основу Вооруженных Сил, а также группировки воинских частей и соединений видов Вооруженных Сил.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предназначением войск Вооруженных Сил и других воинских формирований, согласно указанному специальному нормативному правовому акту, является вооруженная защита государственного суверенитета, независимости и территориальной целостности, вооруженная охрана и защита государственной границы Кыргызской Республики, т.е. выполнение функций по обеспечению военной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Военной доктриной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июля 2013 года № 165, определены основы применения Вооруженных Сил и других воинских формирований; основные принципы военного строительства, согласно которым главной целью военной реформы является преобразование Вооруженных Сил и других воинских формирований Кыргызской Республики в вооруженную организацию современного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задачи подразделений уголовно-исполнительной системы отличаются от задач Вооруженных Сил и других воинских формирований. Кроме того, в случае введения военного положения подразделения уголовно-исполнительной системы не привлекаются к обороне и вооруженной защите Кыргызской Республики, а продолжают выполнять возложенные на них непосредственные функции, принимая участие в организации территориальной обороны (в части охраны и обороны исправительных колоний, следственных изоляторов и тюрем).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статьи 1 проекта Закона предлагается дополнить </w:t>
      </w:r>
      <w:r>
        <w:rPr>
          <w:rFonts w:ascii="Arial" w:cs="Arial" w:eastAsia="Arial" w:hAnsi="Arial"/>
          <w:sz w:val="24"/>
          <w:szCs w:val="24"/>
        </w:rPr>
        <w:t xml:space="preserve">статью 11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органах и учреждениях уголовно-исполнительной (пенитенциарной) системы" частью 6, согласно которой в целях развития материальной базы и социальной сферы, а также создания необходимых социально-бытовых условий для личного состава, войска по охране и конвоированию имеют право создавать специальные фонды за счет оказания услуг, не противоречащих возложенным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30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основных принципах бюджетного права в Кыргызской Республике", создание внебюджетных фондов министерств, государственных комитетов, административных ведомств, государственных комиссий и других центральных органов исполнительной власти, местных государственных администраций, органов местного самоуправления запрещается, за исключением Социального фонда Кыргызской Республики, Фонда медицинского страхования Кыргызской Республики, а также внебюджетных фондов, образуемых за счет добровольных пожертвований и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r>
        <w:rPr>
          <w:rFonts w:ascii="Arial" w:cs="Arial" w:eastAsia="Arial" w:hAnsi="Arial"/>
          <w:sz w:val="24"/>
          <w:szCs w:val="24"/>
        </w:rPr>
        <w:t xml:space="preserve">статье 19-1</w:t>
      </w:r>
      <w:r>
        <w:rPr>
          <w:rFonts w:ascii="Arial" w:cs="Arial" w:eastAsia="Arial" w:hAnsi="Arial"/>
          <w:sz w:val="24"/>
          <w:szCs w:val="24"/>
        </w:rPr>
        <w:t xml:space="preserve"> вышеуказанного Закона, под специальными средствами понимаются средства бюджетных учреждений, получаемые от реализации продукции, выполнения работ и оказания услуг и (или) осуществления иных видов деятельности, зачисляемые на специальные счета в соответствии с действующими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исключить часть 4 статьи 1 проекта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частям 3 и 5 статьи 1 проекта Закона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Кыргызской Республики, подчиненные ему министерства, государственные комитеты, административные ведомства и местные государственные администрации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83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осуществляют исполнительную власть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является коллегиальным органом, возглавляет единую систему органов исполнительной власти в Кыргызской Республике и руководит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одним из элементов системы Правительства Кыргызской Республики является наличие собственной системы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Самостоятельность Правительства Кыргызской Республики предполагает, что оно самостоятельно устанавливает компетенцию органов исполнительной ветви власти, отношения между ними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своих полномочий,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 путем утверждения положений о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чего следует вывод о том, что закрепление на законодательном уровне каких-либо норм, касающихся деятельности, полномочий и функций органов исполнительной власти, подчиненных Правительству Кыргызской Республики, противоречит вышеназванным статьям 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законопроектом предусмотрено изложить в новой редакции статьи 5, 9, 10, тогда как согласно </w:t>
      </w:r>
      <w:r>
        <w:rPr>
          <w:rFonts w:ascii="Arial" w:cs="Arial" w:eastAsia="Arial" w:hAnsi="Arial"/>
          <w:sz w:val="24"/>
          <w:szCs w:val="24"/>
        </w:rPr>
        <w:t xml:space="preserve">статье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изменения и (или) дополнения, вносимые в нормативные правовые акты, оформляются в виде новой редакции нормативного правового акта (его структурного элемента), если количество вносимых в действующую редакцию изменений и (или) дополнений составляет более половины текста нормативного правового акта (его структурного элемента) либо если внесение отдельных изменений и (или) дополнений технически сложно для изложения или восприятия.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предлагаем пересмотреть положения вышеуказанных частей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 проекту отмечаем, что в рамках проводимой комплексной реформы судебной системы и правоохранительных органов, а также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уголовно-исполнительной (пенитенциарной) системы Кыргызской Республики на 2012-2016 годы,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2012 года № 297, развитие уголовно-исполнительной системы Кыргызской Республики осуществляется на основе принципов гуманизации и демилитаризации. Таким образом, концепция представленного законопроекта отличается от принципов, указанных в вышеназванном стратегическом документе.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0gdui6gbrvsaxc7hp_hf" Type="http://schemas.openxmlformats.org/officeDocument/2006/relationships/hyperlink" Target="http://kodeks.duckdns.org/document/159126" TargetMode="External"/><Relationship Id="rIdyqgzeideo_bc17waumijf" Type="http://schemas.openxmlformats.org/officeDocument/2006/relationships/hyperlink" Target="http://kodeks.duckdns.org/document/203685" TargetMode="External"/><Relationship Id="rIdgjyl4mv6pgrwt9t225lvz" Type="http://schemas.openxmlformats.org/officeDocument/2006/relationships/hyperlink" Target="http://kodeks.duckdns.org/document/97386#p1" TargetMode="External"/><Relationship Id="rIdp7xocyuogheq3a6eeakxt" Type="http://schemas.openxmlformats.org/officeDocument/2006/relationships/hyperlink" Target="http://kodeks.duckdns.org/document/1323" TargetMode="External"/><Relationship Id="rId-oc6jyjn9im4byln06lrb" Type="http://schemas.openxmlformats.org/officeDocument/2006/relationships/hyperlink" Target="http://kodeks.duckdns.org/document/9738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2026-09-23T11:05:21.358Z</dcterms:created>
  <dcterms:modified xsi:type="dcterms:W3CDTF">2026-09-23T11:05:21.358Z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