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ifum_ahd8rmfiao_r3h2f">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марта 2015 года № 164-2/1</w:t>
      </w:r>
    </w:p>
    <w:p>
      <w:pPr>
        <w:spacing w:after="120"/>
        <w:jc w:val="both"/>
      </w:pPr>
      <w:r>
        <w:rPr>
          <w:rFonts w:ascii="Arial" w:cs="Arial" w:eastAsia="Arial" w:hAnsi="Arial"/>
          <w:sz w:val="24"/>
          <w:szCs w:val="24"/>
        </w:rPr>
        <w:t xml:space="preserve">О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2015 год</w:t>
      </w:r>
    </w:p>
    <w:p>
      <w:pPr>
        <w:spacing w:after="120"/>
        <w:jc w:val="both"/>
      </w:pPr>
      <w:r>
        <w:rPr>
          <w:rFonts w:ascii="Arial" w:cs="Arial" w:eastAsia="Arial" w:hAnsi="Arial"/>
          <w:sz w:val="24"/>
          <w:szCs w:val="24"/>
        </w:rPr>
        <w:t xml:space="preserve">В целях определения и реализации основных направлений экономической политики на 2015 год, в соответствии со статьями 10 и 17 </w:t>
      </w:r>
      <w:hyperlink w:history="1" r:id="rIdmbmpedmhjn67qazv9osup">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и статьями 6 и 7 </w:t>
      </w:r>
      <w:hyperlink w:history="1" r:id="rIdhdwr85x98k0hgvsnxakc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Правительство Кыргызской Республики и Национальный банк Кыргызской Республики</w:t>
      </w:r>
    </w:p>
    <w:p>
      <w:pPr>
        <w:spacing w:after="120" w:before="240"/>
        <w:jc w:val="center"/>
      </w:pPr>
      <w:r>
        <w:rPr>
          <w:rFonts w:ascii="Arial" w:cs="Arial" w:eastAsia="Arial" w:hAnsi="Arial"/>
          <w:sz w:val="24"/>
          <w:szCs w:val="24"/>
        </w:rPr>
        <w:t xml:space="preserve">ПОСТАНОВЛЯЮТ:</w:t>
      </w:r>
    </w:p>
    <w:p>
      <w:pPr>
        <w:spacing w:after="120" w:before="240"/>
        <w:jc w:val="both"/>
      </w:pPr>
      <w:r>
        <w:rPr>
          <w:rFonts w:ascii="Arial" w:cs="Arial" w:eastAsia="Arial" w:hAnsi="Arial"/>
          <w:sz w:val="24"/>
          <w:szCs w:val="24"/>
        </w:rPr>
        <w:t xml:space="preserve">1. Одобрить прилагаемое </w:t>
      </w:r>
      <w:hyperlink w:history="1" r:id="rId_b5xzlyjuzjajv1vylfst">
        <w:r>
          <w:rPr>
            <w:rFonts w:ascii="Arial" w:cs="Arial" w:eastAsia="Arial" w:hAnsi="Arial"/>
            <w:color w:val="1D4ED8"/>
            <w:sz w:val="24"/>
            <w:szCs w:val="24"/>
            <w:u w:val="single"/>
          </w:rPr>
          <w:t xml:space="preserve">Совместное заявление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об основных направлениях экономической политики на 2015 год.</w:t>
      </w:r>
    </w:p>
    <w:p>
      <w:pPr>
        <w:spacing w:after="120"/>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Аппарат Правительства Кыргызской Республики и Национальный банк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Исполняющий обязанности Председателя Национального банка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Дж.Оторбаев</w:t>
      </w:r>
      <w:r>
        <w:rPr>
          <w:rFonts w:ascii="Arial" w:cs="Arial" w:eastAsia="Arial" w:hAnsi="Arial"/>
          <w:sz w:val="24"/>
          <w:szCs w:val="24"/>
        </w:rPr>
        <w:t xml:space="preserve">	</w:t>
      </w:r>
      <w:r>
        <w:rPr>
          <w:rFonts w:ascii="Arial" w:cs="Arial" w:eastAsia="Arial" w:hAnsi="Arial"/>
          <w:b/>
          <w:bCs/>
          <w:sz w:val="24"/>
          <w:szCs w:val="24"/>
        </w:rPr>
        <w:t xml:space="preserve">Н.Жениш</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xuryek4flapu0gsuscef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от 26 марта 2015 года № 164-2/1</w:t>
      </w:r>
    </w:p>
    <w:p>
      <w:pPr>
        <w:spacing w:after="240"/>
        <w:jc w:val="both"/>
      </w:pPr>
      <w:r>
        <w:rPr>
          <w:rFonts w:ascii="Arial" w:cs="Arial" w:eastAsia="Arial" w:hAnsi="Arial"/>
          <w:sz w:val="24"/>
          <w:szCs w:val="24"/>
        </w:rPr>
        <w:t xml:space="preserve">СОВМЕСТНОЕ ЗАЯВЛЕНИЕ
 Правительства Кыргызской Республики и Национального банка Кыргызской Республики об основных направлениях экономической политики на 2015 год</w:t>
      </w:r>
    </w:p>
    <w:p>
      <w:pPr>
        <w:spacing w:after="120"/>
        <w:jc w:val="both"/>
      </w:pPr>
      <w:r>
        <w:rPr>
          <w:rFonts w:ascii="Arial" w:cs="Arial" w:eastAsia="Arial" w:hAnsi="Arial"/>
          <w:sz w:val="24"/>
          <w:szCs w:val="24"/>
        </w:rPr>
        <w:t xml:space="preserve">Экономическая политика, проводимая Правительством Кыргызской Республики (далее - Правительство) и Национальным банком Кыргызской Республики (далее - Национальный банк) в 2014 году, позволила сохранить наметившуюся положительную динамику развития экономики, макроэкономическую и социальную стабильность в стране, несмотря на негативное влияние продолжающегося замедления мировой экономики, в том числе в странах - основных торговых партнерах - Российской Федерации и Казахстане.</w:t>
      </w:r>
    </w:p>
    <w:p>
      <w:pPr>
        <w:spacing w:after="120"/>
        <w:jc w:val="both"/>
      </w:pPr>
      <w:r>
        <w:rPr>
          <w:rFonts w:ascii="Arial" w:cs="Arial" w:eastAsia="Arial" w:hAnsi="Arial"/>
          <w:sz w:val="24"/>
          <w:szCs w:val="24"/>
        </w:rPr>
        <w:t xml:space="preserve">По предварительной оценке, экономический рост в республике по итогам 2014 года составил 103,6 процента.</w:t>
      </w:r>
    </w:p>
    <w:p>
      <w:pPr>
        <w:spacing w:after="120"/>
        <w:jc w:val="both"/>
      </w:pPr>
      <w:r>
        <w:rPr>
          <w:rFonts w:ascii="Arial" w:cs="Arial" w:eastAsia="Arial" w:hAnsi="Arial"/>
          <w:sz w:val="24"/>
          <w:szCs w:val="24"/>
        </w:rPr>
        <w:t xml:space="preserve">Инфляция в 2014 году изменялась в диапазоне от 3,6 процентов до 10,5 процентов, а ее среднегодовое значение составило 7,5 процента. Совместные действия Правительства и Национального банка, в связи с ускорением инфляционных процессов в стране, которые были обусловлены как эндогенными (спад производства в сельском хозяйстве из-за природно-климатических условий; повышение тарифов на услуги жилищно-коммунального хозяйства; рост инфляционных ожиданий в связи со вступлением Кыргызской Республики в ЕАЭС), так и экзогенными факторами (укрепление доллара США по отношению к сому и другим валютам; повышение отпускных цен на ГСМ российскими нефтеперерабатывающими заводами; увеличение стоимости импортируемой пшеницы в связи с сокращением объемов урожая зерновых в Казахстане), были направлены на стабилизацию цен.</w:t>
      </w:r>
    </w:p>
    <w:p>
      <w:pPr>
        <w:spacing w:after="120"/>
        <w:jc w:val="both"/>
      </w:pPr>
      <w:r>
        <w:rPr>
          <w:rFonts w:ascii="Arial" w:cs="Arial" w:eastAsia="Arial" w:hAnsi="Arial"/>
          <w:sz w:val="24"/>
          <w:szCs w:val="24"/>
        </w:rPr>
        <w:t xml:space="preserve">На фоне общемировой тенденции к укреплению позиций доллара США, а также происходящих событий в экономике России, в республике наблюдалось усиление инфляционных ожиданий, которые привели к повышенному спросу на иностранную валюту и, соответственно, давлению на обменный курс. В этих условиях Правительством и Национальным банком оперативно принимались меры по минимизации рисков, которые могли бы повлиять на изменение показателей социально-экономического развития страны. В целях сглаживания резких колебаний обменного курса национальной валюты, предотвращения спекулятивных операций на внутреннем валютном рынке, недопущения резкого повышения цен на товары и услуги Министерством экономики Кыргызской Республики совместно с министерствами и ведомствами был разработан план первоочередных мер. Национальным банком принимались меры по сглаживанию резких колебаний обменного курса путем проведения валютных интервенций, повышения учетной ставки до 10,50 процентов (в начале 2014 года учетная ставка составляла 4,16 процента), введения ежедневного минимального порогового уровня обязательных резервных требований для коммерческих банков.</w:t>
      </w:r>
    </w:p>
    <w:p>
      <w:pPr>
        <w:spacing w:after="120"/>
        <w:jc w:val="both"/>
      </w:pPr>
      <w:r>
        <w:rPr>
          <w:rFonts w:ascii="Arial" w:cs="Arial" w:eastAsia="Arial" w:hAnsi="Arial"/>
          <w:sz w:val="24"/>
          <w:szCs w:val="24"/>
        </w:rPr>
        <w:t xml:space="preserve">Банковский сектор демонстрировал стабильную динамику развития, что сопровождается увеличением суммарных активов банковской системы, которые за 2014 год выросли на 23,9 процента и составили 137,6 млрд. сомов. Общая депозитная база банковского сектора составила 82,5 млрд. сомов, увеличившись с начала года на 22,6 процента, в том числе депозиты населения выросли на 22,1 процента.</w:t>
      </w:r>
    </w:p>
    <w:p>
      <w:pPr>
        <w:spacing w:after="120"/>
        <w:jc w:val="both"/>
      </w:pPr>
      <w:r>
        <w:rPr>
          <w:rFonts w:ascii="Arial" w:cs="Arial" w:eastAsia="Arial" w:hAnsi="Arial"/>
          <w:sz w:val="24"/>
          <w:szCs w:val="24"/>
        </w:rPr>
        <w:t xml:space="preserve">Объем кредитного портфеля (без учета кредитов, предоставленных банкам и другим финансово-кредитным учреждениям) банковского сектора, по состоянию на 31 декабря 2014 года, составил 78,8 млрд. сомов, увеличившись с начала года на 45,9 процента.</w:t>
      </w:r>
    </w:p>
    <w:p>
      <w:pPr>
        <w:spacing w:after="120"/>
        <w:jc w:val="both"/>
      </w:pPr>
      <w:r>
        <w:rPr>
          <w:rFonts w:ascii="Arial" w:cs="Arial" w:eastAsia="Arial" w:hAnsi="Arial"/>
          <w:sz w:val="24"/>
          <w:szCs w:val="24"/>
        </w:rPr>
        <w:t xml:space="preserve">Закрепление положительной динамики экономического роста активно продвигалось в рамках Плана мероприятий Правительства Кыргызской Республики на 2014 год по реализации Программы по переходу Кыргызской Республики к устойчивому развитию на 2013-2017 годы, большая часть которого сфокусирована на снятии барьеров и упрощении условий ведения бизнеса и реализации инвестиционных проектов национального масштаба для развития стратегических отраслей экономики. За 2014 год реализовано 15 проектов, из них 7 проектов - в агропромышленном комплексе, 4 проекта - в энергетическом секторе, 4 проекта - в сфере транспорта и коммуникаций.</w:t>
      </w:r>
    </w:p>
    <w:p>
      <w:pPr>
        <w:spacing w:after="120"/>
        <w:jc w:val="both"/>
      </w:pPr>
      <w:r>
        <w:rPr>
          <w:rFonts w:ascii="Arial" w:cs="Arial" w:eastAsia="Arial" w:hAnsi="Arial"/>
          <w:sz w:val="24"/>
          <w:szCs w:val="24"/>
        </w:rPr>
        <w:t xml:space="preserve">В целях стимулирования сельскохозяйственного производства реализован проект "Финансирование сельского хозяйства-2" (постановление Правительства от 31 января 2014 года № 61), в рамках которого шестью банками республики фермерам выделено 15525 льготных кредитов на общую сумму 5300 млн. сомов.</w:t>
      </w:r>
    </w:p>
    <w:p>
      <w:pPr>
        <w:spacing w:after="120"/>
        <w:jc w:val="both"/>
      </w:pPr>
      <w:r>
        <w:rPr>
          <w:rFonts w:ascii="Arial" w:cs="Arial" w:eastAsia="Arial" w:hAnsi="Arial"/>
          <w:sz w:val="24"/>
          <w:szCs w:val="24"/>
        </w:rPr>
        <w:t xml:space="preserve">Продолжалась работа по созданию и поддержанию благоприятных условий для ведения предпринимательской деятельности. Создана информационная система по проверкам деятельности субъектов предпринимательства, позволяющая государственным контролирующим органам снизить степень рисков объектов и их частоту проведения, сократить необоснованные и излишние проверки. Объекты будут проверяться в зависимости от степени рисков: "с высокой степенью риска" - не чаще одного раза в год; со "средней степенью" - не более одного раза в три года и с "незначительной степенью" - не более одного раза в пять лет. В два раза сокращены сроки проведения проверок для юридических лиц до 15 дней, для субъектов малого бизнеса - до 5 рабочих дней. В целях улучшения качества нормативных правовых актов, регулирующих предпринимательскую деятельность, создания благоприятных условий для ведения предпринимательской деятельности принята новая </w:t>
      </w:r>
      <w:r>
        <w:rPr>
          <w:rFonts w:ascii="Arial" w:cs="Arial" w:eastAsia="Arial" w:hAnsi="Arial"/>
          <w:sz w:val="24"/>
          <w:szCs w:val="24"/>
        </w:rPr>
        <w:t xml:space="preserve">Методика</w:t>
      </w:r>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30 сентября 2014 года № 559).</w:t>
      </w:r>
    </w:p>
    <w:p>
      <w:pPr>
        <w:spacing w:after="120"/>
        <w:jc w:val="both"/>
      </w:pPr>
      <w:r>
        <w:rPr>
          <w:rFonts w:ascii="Arial" w:cs="Arial" w:eastAsia="Arial" w:hAnsi="Arial"/>
          <w:sz w:val="24"/>
          <w:szCs w:val="24"/>
        </w:rPr>
        <w:t xml:space="preserve">В рамках проводимой фискальной политики, для совершенствования проводимой налоговой политики, системы налогового и таможенного администрирования принят ряд нормативных правовых актов. С принятием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внесении дополнений и изменения в некоторые законодательные акты Кыргызской Республики" от 11 апреля 2014 года № 57 гражданам (включая государственных служащих) предоставлена возможность легализовать свои доходы путем добровольного декларирования денежных средств, недвижимого имущества, ценных бумаг, доли принадлежащего им капитала в предприятиях, иных видах движимого имущества за прошедшие отчетные периоды.</w:t>
      </w:r>
    </w:p>
    <w:p>
      <w:pPr>
        <w:spacing w:after="120"/>
        <w:jc w:val="both"/>
      </w:pPr>
      <w:r>
        <w:rPr>
          <w:rFonts w:ascii="Arial" w:cs="Arial" w:eastAsia="Arial" w:hAnsi="Arial"/>
          <w:sz w:val="24"/>
          <w:szCs w:val="24"/>
        </w:rPr>
        <w:t xml:space="preserve">В соответствии с установленными параметрами на 2014 год обеспечено полное и своевременное финансирование социальных гарантий государства.</w:t>
      </w:r>
    </w:p>
    <w:p>
      <w:pPr>
        <w:spacing w:after="120"/>
        <w:jc w:val="both"/>
      </w:pPr>
      <w:r>
        <w:rPr>
          <w:rFonts w:ascii="Arial" w:cs="Arial" w:eastAsia="Arial" w:hAnsi="Arial"/>
          <w:sz w:val="24"/>
          <w:szCs w:val="24"/>
        </w:rPr>
        <w:t xml:space="preserve">Активно реализовывался План мероприятий ("дорожная карта") по присоединению Кыргызской Республики к Единому экономическому пространству Республики Беларусь, Республики Казахстан и Российской Федерации, с учетом формирования Евразийского экономического союза (далее - ЕАЭС), утвержденного Решением Высшего Евразийского экономического совета от 10 октября 2014 года № 75. Проведена масштабная работа по приведению национального законодательства в соответствие с нормативной базой ЕАЭС, в рамках которой внесены изменения и дополнения в 112 нормативных правовых актов (38 законов, 74 иных нормативных правовых актов).</w:t>
      </w:r>
    </w:p>
    <w:p>
      <w:pPr>
        <w:spacing w:after="120"/>
        <w:jc w:val="both"/>
      </w:pPr>
      <w:r>
        <w:rPr>
          <w:rFonts w:ascii="Arial" w:cs="Arial" w:eastAsia="Arial" w:hAnsi="Arial"/>
          <w:sz w:val="24"/>
          <w:szCs w:val="24"/>
        </w:rPr>
        <w:t xml:space="preserve">Главным событием года стало подписание 23 декабря 2014 года </w:t>
      </w:r>
      <w:r>
        <w:rPr>
          <w:rFonts w:ascii="Arial" w:cs="Arial" w:eastAsia="Arial" w:hAnsi="Arial"/>
          <w:sz w:val="24"/>
          <w:szCs w:val="24"/>
        </w:rPr>
        <w:t xml:space="preserve">Договора</w:t>
      </w:r>
      <w:r>
        <w:rPr>
          <w:rFonts w:ascii="Arial" w:cs="Arial" w:eastAsia="Arial" w:hAnsi="Arial"/>
          <w:sz w:val="24"/>
          <w:szCs w:val="24"/>
        </w:rPr>
        <w:t xml:space="preserve"> о присоединении Кыргызской Республики к </w:t>
      </w:r>
      <w:r>
        <w:rPr>
          <w:rFonts w:ascii="Arial" w:cs="Arial" w:eastAsia="Arial" w:hAnsi="Arial"/>
          <w:sz w:val="24"/>
          <w:szCs w:val="24"/>
        </w:rPr>
        <w:t xml:space="preserve">Договору</w:t>
      </w:r>
      <w:r>
        <w:rPr>
          <w:rFonts w:ascii="Arial" w:cs="Arial" w:eastAsia="Arial" w:hAnsi="Arial"/>
          <w:sz w:val="24"/>
          <w:szCs w:val="24"/>
        </w:rPr>
        <w:t xml:space="preserve"> о Евразийском экономическом союзе от 29 мая 2014 года. 1 января 2015 года на постсоветском пространстве начало функционировать крупнейшее интеграционное объединение - ЕАЭС, которое будет обеспечивать свободу движения товаров, услуг, капиталов и трудовых ресурсов между странами-участницами. После завершения всех процедур ожидается, что в мае 2015 года Кыргызстан станет полноценным членом ЕАЭС. Для республики это новая ступень экономической интеграции. Перед страной открываются новые горизонты социально-экономического развития; предпосылки для нарастания деловой активности в экономике, а также возникают вызовы для отечественного сельскохозяйственного производства, пищевых и перерабатывающих предприятий, бизнеса.</w:t>
      </w:r>
    </w:p>
    <w:p>
      <w:pPr>
        <w:spacing w:after="120"/>
        <w:jc w:val="both"/>
      </w:pPr>
      <w:r>
        <w:rPr>
          <w:rFonts w:ascii="Arial" w:cs="Arial" w:eastAsia="Arial" w:hAnsi="Arial"/>
          <w:sz w:val="24"/>
          <w:szCs w:val="24"/>
        </w:rPr>
        <w:t xml:space="preserve">Таким образом, в 2014 году достигнуты определенные результаты. Вместе с тем сохраняются внешние и внутренние риски, которые могут оказать влияние на развитие экономики страны в 2015 году.</w:t>
      </w:r>
    </w:p>
    <w:p>
      <w:pPr>
        <w:spacing w:after="120"/>
        <w:jc w:val="both"/>
      </w:pPr>
      <w:r>
        <w:rPr>
          <w:rFonts w:ascii="Arial" w:cs="Arial" w:eastAsia="Arial" w:hAnsi="Arial"/>
          <w:sz w:val="24"/>
          <w:szCs w:val="24"/>
        </w:rPr>
        <w:t xml:space="preserve">В мировой экономике сохраняется тенденция к спаду. Пересмотрены прогнозы развития мировой экономики на 2015 год в сторону снижения до 3,8 процента при ранее прогнозируемом 4,0 процентном росте, еврозоны - до 1,3 процента по сравнению с апрельским прогнозом в 1,5 процента (прогноз Международного валютного фонда). Также на 2015 год были пересмотрены показатели уровня экономического роста в сторону снижения в странах - основных торговых партнерах Кыргызской Республики.</w:t>
      </w:r>
    </w:p>
    <w:p>
      <w:pPr>
        <w:spacing w:after="120"/>
        <w:jc w:val="both"/>
      </w:pPr>
      <w:r>
        <w:rPr>
          <w:rFonts w:ascii="Arial" w:cs="Arial" w:eastAsia="Arial" w:hAnsi="Arial"/>
          <w:sz w:val="24"/>
          <w:szCs w:val="24"/>
        </w:rPr>
        <w:t xml:space="preserve">Последние изменения геополитической и экономической ситуации в странах - основных торговых партнеров еще раз демонстрирует степень зависимости экономики Кыргызстана от внешних факторов. Так, в России значительно снизились цены на мировом сырьевом рынке; цена на нефть Brent в 2014 году снизилась на 46,57 процента (со 107,7 долл./баррель до 57,54 долл./баррель, в 2015 году риски дальнейшего снижения цены на нефть сохраняются); доллар США по отношению к рублю за 2014 год укрепился на 71,89 процента; ускорилась инфляция, которая по состоянию на 31 декабря 2014 года составила 11,4 процента, усилился отток капитала.</w:t>
      </w:r>
    </w:p>
    <w:p>
      <w:pPr>
        <w:spacing w:after="120"/>
        <w:jc w:val="both"/>
      </w:pPr>
      <w:r>
        <w:rPr>
          <w:rFonts w:ascii="Arial" w:cs="Arial" w:eastAsia="Arial" w:hAnsi="Arial"/>
          <w:sz w:val="24"/>
          <w:szCs w:val="24"/>
        </w:rPr>
        <w:t xml:space="preserve">В 2015 году экономика России может перейти из фазы стагнации в фазу рецессии (по оценке ЦБРФ, при среднегодовой цене на нефть в 60 долл. США за баррель снижение ВВП может составить (-) 4,8 процента, что может привести к дальнейшему снижению темпов экономического роста стран-участниц ЕАЭС, в том числе Кыргызской Республики.</w:t>
      </w:r>
    </w:p>
    <w:p>
      <w:pPr>
        <w:spacing w:after="120"/>
        <w:jc w:val="both"/>
      </w:pPr>
      <w:r>
        <w:rPr>
          <w:rFonts w:ascii="Arial" w:cs="Arial" w:eastAsia="Arial" w:hAnsi="Arial"/>
          <w:sz w:val="24"/>
          <w:szCs w:val="24"/>
        </w:rPr>
        <w:t xml:space="preserve">На фоне таких событий основными влияющими факторами на социально-экономическое развитие являются: рост инфляционного давления; интеграционные процессы в рамках ЕАЭС; повышение цен на импортные товары, что приводит к снижению темпов роста оптовой и розничной торговли, транспортных услуг; снижение поступлений частных трансфертов.</w:t>
      </w:r>
    </w:p>
    <w:p>
      <w:pPr>
        <w:spacing w:after="120"/>
        <w:jc w:val="both"/>
      </w:pPr>
      <w:r>
        <w:rPr>
          <w:rFonts w:ascii="Arial" w:cs="Arial" w:eastAsia="Arial" w:hAnsi="Arial"/>
          <w:sz w:val="24"/>
          <w:szCs w:val="24"/>
        </w:rPr>
        <w:t xml:space="preserve">В этих условиях главными целями экономической политики в 2015 году будут сохранение макроэкономической стабильности и достижение положительной динамики экономического роста.</w:t>
      </w:r>
    </w:p>
    <w:p>
      <w:pPr>
        <w:spacing w:after="120"/>
        <w:jc w:val="both"/>
      </w:pPr>
      <w:r>
        <w:rPr>
          <w:rFonts w:ascii="Arial" w:cs="Arial" w:eastAsia="Arial" w:hAnsi="Arial"/>
          <w:sz w:val="24"/>
          <w:szCs w:val="24"/>
        </w:rPr>
        <w:t xml:space="preserve">Основными направлениями экономической политики в 2015 году станут:</w:t>
      </w:r>
    </w:p>
    <w:p>
      <w:pPr>
        <w:spacing w:after="120"/>
        <w:jc w:val="both"/>
      </w:pPr>
      <w:r>
        <w:rPr>
          <w:rFonts w:ascii="Arial" w:cs="Arial" w:eastAsia="Arial" w:hAnsi="Arial"/>
          <w:sz w:val="24"/>
          <w:szCs w:val="24"/>
        </w:rPr>
        <w:t xml:space="preserve">- создание базовых условий для сохранения положительных тенденций экономического роста;</w:t>
      </w:r>
    </w:p>
    <w:p>
      <w:pPr>
        <w:spacing w:after="120"/>
        <w:jc w:val="both"/>
      </w:pPr>
      <w:r>
        <w:rPr>
          <w:rFonts w:ascii="Arial" w:cs="Arial" w:eastAsia="Arial" w:hAnsi="Arial"/>
          <w:sz w:val="24"/>
          <w:szCs w:val="24"/>
        </w:rPr>
        <w:t xml:space="preserve">- поддержание макроэкономической стабильности посредством удержания дефицита государственного бюджета на уровне, обеспечивающем финансовую устойчивость;</w:t>
      </w:r>
    </w:p>
    <w:p>
      <w:pPr>
        <w:spacing w:after="120"/>
        <w:jc w:val="both"/>
      </w:pPr>
      <w:r>
        <w:rPr>
          <w:rFonts w:ascii="Arial" w:cs="Arial" w:eastAsia="Arial" w:hAnsi="Arial"/>
          <w:sz w:val="24"/>
          <w:szCs w:val="24"/>
        </w:rPr>
        <w:t xml:space="preserve">- сохранение макроэкономической стабильности посредством достижения и поддержания стабильности цен в результате проведения согласованной экономической политики Правительства и Национального банка;</w:t>
      </w:r>
    </w:p>
    <w:p>
      <w:pPr>
        <w:spacing w:after="120"/>
        <w:jc w:val="both"/>
      </w:pPr>
      <w:r>
        <w:rPr>
          <w:rFonts w:ascii="Arial" w:cs="Arial" w:eastAsia="Arial" w:hAnsi="Arial"/>
          <w:sz w:val="24"/>
          <w:szCs w:val="24"/>
        </w:rPr>
        <w:t xml:space="preserve">- активное продвижение мероприятий для продолжения интеграционных процессов в рамках ЕАЭС;</w:t>
      </w:r>
    </w:p>
    <w:p>
      <w:pPr>
        <w:spacing w:after="120"/>
        <w:jc w:val="both"/>
      </w:pPr>
      <w:r>
        <w:rPr>
          <w:rFonts w:ascii="Arial" w:cs="Arial" w:eastAsia="Arial" w:hAnsi="Arial"/>
          <w:sz w:val="24"/>
          <w:szCs w:val="24"/>
        </w:rPr>
        <w:t xml:space="preserve">- формирование эффективной системы государственного управления;</w:t>
      </w:r>
    </w:p>
    <w:p>
      <w:pPr>
        <w:spacing w:after="120"/>
        <w:jc w:val="both"/>
      </w:pPr>
      <w:r>
        <w:rPr>
          <w:rFonts w:ascii="Arial" w:cs="Arial" w:eastAsia="Arial" w:hAnsi="Arial"/>
          <w:sz w:val="24"/>
          <w:szCs w:val="24"/>
        </w:rPr>
        <w:t xml:space="preserve">- повышение качества социальных услуг посредством принятия конкретных мер и мероприятий, направленных на жизнеобеспечение населения.</w:t>
      </w:r>
    </w:p>
    <w:p>
      <w:pPr>
        <w:spacing w:after="120"/>
        <w:jc w:val="both"/>
      </w:pPr>
      <w:r>
        <w:rPr>
          <w:rFonts w:ascii="Arial" w:cs="Arial" w:eastAsia="Arial" w:hAnsi="Arial"/>
          <w:sz w:val="24"/>
          <w:szCs w:val="24"/>
        </w:rPr>
        <w:t xml:space="preserve">В 2015 году экономическое развитие страны будет складываться на основе ориентиров, которые заложены в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устойчивого развития Кыргызской Республики на период 2013-2017 годы, утвержденной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от 21 января 2013 года № 11 (далее - НСУР), и в условиях вхождения Кыргызской Республики в ЕАЭС.</w:t>
      </w:r>
    </w:p>
    <w:p>
      <w:pPr>
        <w:spacing w:after="120"/>
        <w:jc w:val="both"/>
      </w:pPr>
      <w:r>
        <w:rPr>
          <w:rFonts w:ascii="Arial" w:cs="Arial" w:eastAsia="Arial" w:hAnsi="Arial"/>
          <w:sz w:val="24"/>
          <w:szCs w:val="24"/>
        </w:rPr>
        <w:t xml:space="preserve">Для обеспечения устойчивого экономического роста Правительство сконцентрируется на продолжении реализации 77 крупных инвестиционных проектов; в целях усиления экспортного потенциала будет начата масштабная модернизация сельского хозяйства, направленная на повышение конкурентоспособности аграрного сектора и развитие пищевой переработки. Будет запущен проект "Финансирование экспортно-ориентированных производств".</w:t>
      </w:r>
    </w:p>
    <w:p>
      <w:pPr>
        <w:spacing w:after="120"/>
        <w:jc w:val="both"/>
      </w:pPr>
      <w:r>
        <w:rPr>
          <w:rFonts w:ascii="Arial" w:cs="Arial" w:eastAsia="Arial" w:hAnsi="Arial"/>
          <w:sz w:val="24"/>
          <w:szCs w:val="24"/>
        </w:rPr>
        <w:t xml:space="preserve">С целью обеспечения устойчивого экономического роста, основанного на рациональном использовании природных ресурсов страны, Правительством в 2015-2017 годы будут реализовываться программы по развитию горнодобывающей промышленности Кыргызской Республики, по энергосбережению и планированию политики по энергоэффективности в Кыргызской Республике на 2015-2017 годы, в рамках которых начнется формирование принципиально новой системы управления природными ресурсами, снижение энергоемкости и повышение энергоэффективности экономики, развитие возобновляемых источников энергии и снижение загрязнения окружающей среды.</w:t>
      </w:r>
    </w:p>
    <w:p>
      <w:pPr>
        <w:spacing w:after="120"/>
        <w:jc w:val="both"/>
      </w:pPr>
      <w:r>
        <w:rPr>
          <w:rFonts w:ascii="Arial" w:cs="Arial" w:eastAsia="Arial" w:hAnsi="Arial"/>
          <w:sz w:val="24"/>
          <w:szCs w:val="24"/>
        </w:rPr>
        <w:t xml:space="preserve">В целях создания благоприятных условий для развития предпринимательства действия Правительства будут направлены на своевременное и качественное выполнение заложенных мероприятий в Программе по переходу Кыргызской Республики к устойчивому развитию на 2013-2017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18 декабря 2013 года № 3694-V.</w:t>
      </w:r>
    </w:p>
    <w:p>
      <w:pPr>
        <w:spacing w:after="120"/>
        <w:jc w:val="both"/>
      </w:pPr>
      <w:r>
        <w:rPr>
          <w:rFonts w:ascii="Arial" w:cs="Arial" w:eastAsia="Arial" w:hAnsi="Arial"/>
          <w:sz w:val="24"/>
          <w:szCs w:val="24"/>
        </w:rPr>
        <w:t xml:space="preserve">В целом фискальная политика на 2015 год останется стабильной и будет направлена на реализацию таких мер, как: совершенствование налогового законодательства; развитие существующих и освоение новых инструментов администрирования, обеспечивающих успешную интеграцию с государствами-членами Евразийского экономического союза; максимальное выравнивание налоговой нагрузки; обеспечение полноты сбора налогов; совершенствование и автоматизация системы налоговой отчетности.</w:t>
      </w:r>
    </w:p>
    <w:p>
      <w:pPr>
        <w:spacing w:after="120"/>
        <w:jc w:val="both"/>
      </w:pPr>
      <w:r>
        <w:rPr>
          <w:rFonts w:ascii="Arial" w:cs="Arial" w:eastAsia="Arial" w:hAnsi="Arial"/>
          <w:sz w:val="24"/>
          <w:szCs w:val="24"/>
        </w:rPr>
        <w:t xml:space="preserve">Политика государственных расходов в 2015 году будет направлена на сохранение социальной направленности государственных расходов, наряду с сокращением неэффективных и неприоритетных расходов путем совершенствования планирования бюджета; управление внешним долгом республики, с учетом проводимой Правительством работой, направленной на обеспечение строгой дисциплины расходования и привлечения иностранных займов; управление и контроль за использованием внешних и внутренних средств портфеля ПГИ; обеспечение дефицита государственного бюджета на приемлемом уровне.</w:t>
      </w:r>
    </w:p>
    <w:p>
      <w:pPr>
        <w:spacing w:after="120"/>
        <w:jc w:val="both"/>
      </w:pPr>
      <w:r>
        <w:rPr>
          <w:rFonts w:ascii="Arial" w:cs="Arial" w:eastAsia="Arial" w:hAnsi="Arial"/>
          <w:sz w:val="24"/>
          <w:szCs w:val="24"/>
        </w:rPr>
        <w:t xml:space="preserve">Управление государственным долгом будет осуществляться в направлении сохранения устойчивого уровня государственного долга и постепенного снижения бремени долга, в том числе за счет оптимизации внешних заимствований при одновременном соблюдении установленного графика выплат по внешнему долгу.</w:t>
      </w:r>
    </w:p>
    <w:p>
      <w:pPr>
        <w:spacing w:after="120"/>
        <w:jc w:val="both"/>
      </w:pPr>
      <w:r>
        <w:rPr>
          <w:rFonts w:ascii="Arial" w:cs="Arial" w:eastAsia="Arial" w:hAnsi="Arial"/>
          <w:sz w:val="24"/>
          <w:szCs w:val="24"/>
        </w:rPr>
        <w:t xml:space="preserve">Внешнеэкономическая деятельность в 2015 году будет направлена на создание благоприятных условий для роста и развития экспортного потенциала республики. Основными направлениями станут обеспечение проведения процесса и процедур по вступлению Кыргызской Республики в ЕАЭС, гармонизация нормативных правовых актов Кыргызской Республики с документами ЕАЭС, продолжение расширение сотрудничества и активное продвижение интересов Кыргызстана в рамках интеграционных объединений и двустороннего сотрудничества, формирование либеральных торгово-экономических отношений, повышение эффективности работы межправительственных торгово-экономических комиссий с учетом экономической целесообразности.</w:t>
      </w:r>
    </w:p>
    <w:p>
      <w:pPr>
        <w:spacing w:after="120"/>
        <w:jc w:val="both"/>
      </w:pPr>
      <w:r>
        <w:rPr>
          <w:rFonts w:ascii="Arial" w:cs="Arial" w:eastAsia="Arial" w:hAnsi="Arial"/>
          <w:sz w:val="24"/>
          <w:szCs w:val="24"/>
        </w:rPr>
        <w:t xml:space="preserve">Достижение и поддержание стабильности цен в среднесрочном периоде посредством проведения соответствующей денежно-кредитной политики является целью деятельности Национального банка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банке Кыргызской Республики". Стратегические меры и инструменты, предусмотренные выбранным режимом денежно-кредитной политики, будут направлены на реализацию задач, определенных НСУР.</w:t>
      </w:r>
    </w:p>
    <w:p>
      <w:pPr>
        <w:spacing w:after="120"/>
        <w:jc w:val="both"/>
      </w:pPr>
      <w:r>
        <w:rPr>
          <w:rFonts w:ascii="Arial" w:cs="Arial" w:eastAsia="Arial" w:hAnsi="Arial"/>
          <w:sz w:val="24"/>
          <w:szCs w:val="24"/>
        </w:rPr>
        <w:t xml:space="preserve">Прогнозы макроэкономических показателей стран - торговых партнеров свидетельствуют о том, что в 2015 году ситуация в них будет оставаться сложной, что определяет сохранение повышенного инфляционного давления в стране. Вступление Кыргызской Республики в интеграционные объединения может привести к дополнительному росту цен, эффект которого будет иметь краткосрочный характер. В соответствии со Среднесрочной тарифной политикой Правительства Кыргызской Республики на электрическую и тепловую энергию на 2014-2017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от 20 ноября 2014 года № 660, повышение тарифов, начатое в 2014 году, продолжится и в 2015 году.</w:t>
      </w:r>
    </w:p>
    <w:p>
      <w:pPr>
        <w:spacing w:after="120"/>
        <w:jc w:val="both"/>
      </w:pPr>
      <w:r>
        <w:rPr>
          <w:rFonts w:ascii="Arial" w:cs="Arial" w:eastAsia="Arial" w:hAnsi="Arial"/>
          <w:sz w:val="24"/>
          <w:szCs w:val="24"/>
        </w:rPr>
        <w:t xml:space="preserve">Принимая во внимание большую долю продовольственных товаров в потребительской корзине и высокую импортозависимость, существенным фактором ценовой стабильности являются динамика цен на мировых рынках продовольствия и степень насыщения внутреннего рынка товарами этой группы. В этих условиях на ценовую ситуацию будут, во многом, влиять показатели производства в сельскохозяйственном секторе страны и внешнеэкономическая конъюнктура.</w:t>
      </w:r>
    </w:p>
    <w:p>
      <w:pPr>
        <w:spacing w:after="120"/>
        <w:jc w:val="both"/>
      </w:pPr>
      <w:r>
        <w:rPr>
          <w:rFonts w:ascii="Arial" w:cs="Arial" w:eastAsia="Arial" w:hAnsi="Arial"/>
          <w:sz w:val="24"/>
          <w:szCs w:val="24"/>
        </w:rPr>
        <w:t xml:space="preserve">Учитывая сохранение внешних и внутренних факторов инфляционного давления, существенное изменение макроэкономических прогнозов развития стран - основных торговых партнеров республики вследствие влияния негативных факторов, в течение 2015 года инфляция будет находиться выше среднесрочного ориентира 5-7 процентов, определенного НСУР. Меры денежно-кредитной политики будут направлены на снижение в 2015 году уровня инфляции ниже 11 процентов. Такая динамика должна позволить в дальнейшем привести инфляцию к установленному ориентиру.</w:t>
      </w:r>
    </w:p>
    <w:p>
      <w:pPr>
        <w:spacing w:after="120"/>
        <w:jc w:val="both"/>
      </w:pPr>
      <w:r>
        <w:rPr>
          <w:rFonts w:ascii="Arial" w:cs="Arial" w:eastAsia="Arial" w:hAnsi="Arial"/>
          <w:sz w:val="24"/>
          <w:szCs w:val="24"/>
        </w:rPr>
        <w:t xml:space="preserve">Продолжится работа по развитию основы денежно-кредитной политики, использующей учетную ставку в качестве промежуточного ориентира политики, и модернизации используемых инструментов денежно-кредитной политики. В среднесрочной перспективе это позволит усилить работу процентного трансмиссионного канала и воздействие учетной ставки Национального банка на рыночные ставки.</w:t>
      </w:r>
    </w:p>
    <w:p>
      <w:pPr>
        <w:spacing w:after="120"/>
        <w:jc w:val="both"/>
      </w:pPr>
      <w:r>
        <w:rPr>
          <w:rFonts w:ascii="Arial" w:cs="Arial" w:eastAsia="Arial" w:hAnsi="Arial"/>
          <w:sz w:val="24"/>
          <w:szCs w:val="24"/>
        </w:rPr>
        <w:t xml:space="preserve">Национальный банк продолжит придерживаться принятого Кыргызской Республикой режима плавающего обменного курса и будет осуществлять интервенции только в целях смягчения резких колебаний обменного курса национальной валюты. Управление международными резервами будет осуществляться с учетом соблюдения основных принципов поддержания ликвидности и обеспечения безопасности резервных активов.</w:t>
      </w:r>
    </w:p>
    <w:p>
      <w:pPr>
        <w:spacing w:after="120"/>
        <w:jc w:val="both"/>
      </w:pPr>
      <w:r>
        <w:rPr>
          <w:rFonts w:ascii="Arial" w:cs="Arial" w:eastAsia="Arial" w:hAnsi="Arial"/>
          <w:sz w:val="24"/>
          <w:szCs w:val="24"/>
        </w:rPr>
        <w:t xml:space="preserve">Операции по покупке золота на внутреннем рынке страны за национальную валюту будут осуществляться в целях пополнения объема международных резервов с учетом ситуации на мировых финансовых рынках. В 2015 году будет осуществлен выпуск золотых мерных слитков в целях создания альтернативных инструментов сбережений и инвестирования для населения путем создания и развития рынка банковских драгоценных металлов.</w:t>
      </w:r>
    </w:p>
    <w:p>
      <w:pPr>
        <w:spacing w:after="120"/>
        <w:jc w:val="both"/>
      </w:pPr>
      <w:r>
        <w:rPr>
          <w:rFonts w:ascii="Arial" w:cs="Arial" w:eastAsia="Arial" w:hAnsi="Arial"/>
          <w:sz w:val="24"/>
          <w:szCs w:val="24"/>
        </w:rPr>
        <w:t xml:space="preserve">Национальный банк совместно с Министерством финансов Кыргызской Республики будет осуществлять на регулярной основе согласование мер денежно-кредитной и бюджетно-налоговой политики в рамках постоянно действующего Межведомственного координационного совета.</w:t>
      </w:r>
    </w:p>
    <w:p>
      <w:pPr>
        <w:spacing w:after="120"/>
        <w:jc w:val="both"/>
      </w:pPr>
      <w:r>
        <w:rPr>
          <w:rFonts w:ascii="Arial" w:cs="Arial" w:eastAsia="Arial" w:hAnsi="Arial"/>
          <w:sz w:val="24"/>
          <w:szCs w:val="24"/>
        </w:rPr>
        <w:t xml:space="preserve">Сохранится практика проведения активной коммуникационной политики, которая обеспечивает доступность информации о проводимой денежно-кредитной политике. Своевременное и транспарентное информирование общественности будет способствовать снижению инфляционных ожиданий населения.</w:t>
      </w:r>
    </w:p>
    <w:p>
      <w:pPr>
        <w:spacing w:after="120"/>
        <w:jc w:val="both"/>
      </w:pPr>
      <w:r>
        <w:rPr>
          <w:rFonts w:ascii="Arial" w:cs="Arial" w:eastAsia="Arial" w:hAnsi="Arial"/>
          <w:sz w:val="24"/>
          <w:szCs w:val="24"/>
        </w:rPr>
        <w:t xml:space="preserve">Будет продолжена работа по организации и проведению экономических исследований, в том числе в сотрудничестве с исследовательскими институтами, международными организациями, центральными банками других государств.</w:t>
      </w:r>
    </w:p>
    <w:p>
      <w:pPr>
        <w:spacing w:after="120"/>
        <w:jc w:val="both"/>
      </w:pPr>
      <w:r>
        <w:rPr>
          <w:rFonts w:ascii="Arial" w:cs="Arial" w:eastAsia="Arial" w:hAnsi="Arial"/>
          <w:sz w:val="24"/>
          <w:szCs w:val="24"/>
        </w:rPr>
        <w:t xml:space="preserve">С целью усиления передаточного механизма денежно-кредитной политики будут продолжены мероприятия по увеличению доли безналичных расчетов. В этом направлении будут осуществляться дальнейшая координация и контроль за реализацией мероприятий </w:t>
      </w:r>
      <w:r>
        <w:rPr>
          <w:rFonts w:ascii="Arial" w:cs="Arial" w:eastAsia="Arial" w:hAnsi="Arial"/>
          <w:sz w:val="24"/>
          <w:szCs w:val="24"/>
        </w:rPr>
        <w:t xml:space="preserve">Государственной программы</w:t>
      </w:r>
      <w:r>
        <w:rPr>
          <w:rFonts w:ascii="Arial" w:cs="Arial" w:eastAsia="Arial" w:hAnsi="Arial"/>
          <w:sz w:val="24"/>
          <w:szCs w:val="24"/>
        </w:rPr>
        <w:t xml:space="preserve"> по увеличению доли безналичных платежей и расчетов в Кыргызской Республике на 2012-2017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и Национального банка от 14 мая 2012 года № 289/5/1. Приоритетным направлением являются развитие рынка розничных платежей, увеличение степени проникновения платежных услуг на территории Кыргызской Республики.</w:t>
      </w:r>
    </w:p>
    <w:p>
      <w:pPr>
        <w:spacing w:after="120"/>
        <w:jc w:val="both"/>
      </w:pPr>
      <w:r>
        <w:rPr>
          <w:rFonts w:ascii="Arial" w:cs="Arial" w:eastAsia="Arial" w:hAnsi="Arial"/>
          <w:sz w:val="24"/>
          <w:szCs w:val="24"/>
        </w:rPr>
        <w:t xml:space="preserve">В рамках проведения правовой реформы в банковском секторе Национальный банк совместно с Правительством проведет мероприятия по продвижению проекта Банковского кодекса Кыргызской Республики, принятие которого позволит вывести банковское законодательство страны на качественно новый уровень, устранить имеющиеся противоречия и пробелы, установить четкое правовое регулирование отношений, возникающих при осуществлении и регулировании банковской деятельности.</w:t>
      </w:r>
    </w:p>
    <w:p>
      <w:pPr>
        <w:spacing w:after="120"/>
        <w:jc w:val="both"/>
      </w:pPr>
      <w:r>
        <w:rPr>
          <w:rFonts w:ascii="Arial" w:cs="Arial" w:eastAsia="Arial" w:hAnsi="Arial"/>
          <w:sz w:val="24"/>
          <w:szCs w:val="24"/>
        </w:rPr>
        <w:t xml:space="preserve">Будет продолжена реализация ключевых задач, определенных НСУР, в части развития конкурентной среды в финансовом секторе, внедрения механизмов снижения процентных ставок по кредитам коммерческих банков и других финансово-кредитных учреждений, что создаст условия для повышения уровня финансового посредничества финансово-кредитных учреждений в 2015 году.</w:t>
      </w:r>
    </w:p>
    <w:p>
      <w:pPr>
        <w:spacing w:after="120"/>
        <w:jc w:val="both"/>
      </w:pPr>
      <w:r>
        <w:rPr>
          <w:rFonts w:ascii="Arial" w:cs="Arial" w:eastAsia="Arial" w:hAnsi="Arial"/>
          <w:sz w:val="24"/>
          <w:szCs w:val="24"/>
        </w:rPr>
        <w:t xml:space="preserve">В целях сохранения стабильности и целостности банковской системы будет продолжена работа по изменению требований к минимальному уставному капиталу банков в сторону поэтапного увеличения до 300 млн. сомов в 2015 году, в целях установления к 2017 году единых требований по капиталу как для действующих, так и для вновь открываемых банков. Усиление защиты прав потребителей банковских, микрофинансовых и платежных услуг, внедрение риск-ориентированного надзора, предусматривающего оценку степени рисков и качества управления рисками в коммерческих банках, будут способствовать развитию данного сектора.</w:t>
      </w:r>
    </w:p>
    <w:p>
      <w:pPr>
        <w:spacing w:after="120"/>
        <w:jc w:val="both"/>
      </w:pPr>
      <w:r>
        <w:rPr>
          <w:rFonts w:ascii="Arial" w:cs="Arial" w:eastAsia="Arial" w:hAnsi="Arial"/>
          <w:sz w:val="24"/>
          <w:szCs w:val="24"/>
        </w:rPr>
        <w:t xml:space="preserve">В 2015 году Национальным банком совместно с Правительством и при поддержке международных финансовых организаций будет продолжена разработка проекта Национальной программы повышения уровня финансовой грамотности населения.</w:t>
      </w:r>
    </w:p>
    <w:p>
      <w:pPr>
        <w:spacing w:after="120"/>
        <w:jc w:val="both"/>
      </w:pPr>
      <w:r>
        <w:rPr>
          <w:rFonts w:ascii="Arial" w:cs="Arial" w:eastAsia="Arial" w:hAnsi="Arial"/>
          <w:sz w:val="24"/>
          <w:szCs w:val="24"/>
        </w:rPr>
        <w:t xml:space="preserve">Проведение Правительством и Национальным банком скоординированной макроэкономической политики обеспечит устойчивое функционирование всех секторов экономики, что позволит выполнить социальные обязательства перед гражданами страны.</w:t>
      </w:r>
    </w:p>
    <w:p>
      <w:pPr>
        <w:spacing w:after="120"/>
        <w:jc w:val="both"/>
      </w:pPr>
      <w:r>
        <w:rPr>
          <w:rFonts w:ascii="Arial" w:cs="Arial" w:eastAsia="Arial" w:hAnsi="Arial"/>
          <w:sz w:val="24"/>
          <w:szCs w:val="24"/>
        </w:rPr>
        <w:t xml:space="preserve">Социальная политика Правительства будет направлена на продолжение качественного роста человеческого капитала через дальнейшее развитие систем социальной защиты, образования и здравоохранения, совершенствование пенсионной системы.</w:t>
      </w:r>
    </w:p>
    <w:p>
      <w:pPr>
        <w:spacing w:after="120"/>
        <w:jc w:val="both"/>
      </w:pPr>
      <w:r>
        <w:rPr>
          <w:rFonts w:ascii="Arial" w:cs="Arial" w:eastAsia="Arial" w:hAnsi="Arial"/>
          <w:sz w:val="24"/>
          <w:szCs w:val="24"/>
        </w:rPr>
        <w:t xml:space="preserve">Политика социального развития в 2015 году будет направлена на обеспечение социальных гарантий и обязательств в полном объеме, включая поддержку социально незащищенных категорий граждан; создание условий для развития и жизнедеятельности детей и семей, находящихся в трудной жизненной ситуации, и обеспечение их качественными социальными услугами; усиление адресности ежемесячных пособий малообеспеченным семьям с детьми и повышение их размеров; обеспечение равноправного доступа к базовым услугам и создание доступной среды жизнедеятельности лиц с ограниченными возможностями здоровья для эффективной интеграции их в общество; обеспечение каждого пожилого гражданина социальными выплатами и доступом к качественным социальным услугам; сохранение положительной динамики и дальнейшее развитие системы социального развития.</w:t>
      </w:r>
    </w:p>
    <w:p>
      <w:pPr>
        <w:spacing w:after="120"/>
        <w:jc w:val="both"/>
      </w:pPr>
      <w:r>
        <w:rPr>
          <w:rFonts w:ascii="Arial" w:cs="Arial" w:eastAsia="Arial" w:hAnsi="Arial"/>
          <w:sz w:val="24"/>
          <w:szCs w:val="24"/>
        </w:rPr>
        <w:t xml:space="preserve">Будут реализованы меры по обеспечению финансовой устойчивости пенсионной системы, повышению пенсий и совершенствованию правоотношений в области государственного социального страхования; также планируется инвестирование средств пенсионных накоплений.</w:t>
      </w:r>
    </w:p>
    <w:p>
      <w:pPr>
        <w:spacing w:after="120"/>
        <w:jc w:val="both"/>
      </w:pPr>
      <w:r>
        <w:rPr>
          <w:rFonts w:ascii="Arial" w:cs="Arial" w:eastAsia="Arial" w:hAnsi="Arial"/>
          <w:sz w:val="24"/>
          <w:szCs w:val="24"/>
        </w:rPr>
        <w:t xml:space="preserve">Как и прежде, сохранится зависимость экономического роста от внешних факторов, тенденций развития в экономике стран основных торговых партнеров. Правительством и Национальным банком будет разработана система мер, направленных на смягчение возможного шокового воздействия на экономику негативных процессов, связанных с ухудшением мировой конъюнктуры и возникающими внутренними неблагоприятными условиями.</w:t>
      </w:r>
    </w:p>
    <w:p>
      <w:pPr>
        <w:spacing w:after="120"/>
        <w:jc w:val="both"/>
      </w:pPr>
      <w:r>
        <w:rPr>
          <w:rFonts w:ascii="Arial" w:cs="Arial" w:eastAsia="Arial" w:hAnsi="Arial"/>
          <w:sz w:val="24"/>
          <w:szCs w:val="24"/>
        </w:rPr>
        <w:t xml:space="preserve">Таким образом, проводимая в 2015 году экономическая политика Правительства и Национального банка позволит обеспечить достижение положительных уровней экономического роста, который будет поддерживаться со стороны всех отраслей экономики, формирующих ВВП страны, и удержание умеренных темпов инфляции.</w:t>
      </w:r>
    </w:p>
    <w:p>
      <w:pPr>
        <w:spacing w:after="120"/>
        <w:jc w:val="both"/>
      </w:pPr>
      <w:r>
        <w:rPr>
          <w:rFonts w:ascii="Arial" w:cs="Arial" w:eastAsia="Arial" w:hAnsi="Arial"/>
          <w:sz w:val="24"/>
          <w:szCs w:val="24"/>
        </w:rPr>
        <w:t xml:space="preserve">Основным условием для достижения макроэкономической стабильности станут обеспечение общественно-политической стабильности в стране, эффективное использование внутренних ресурсов и собственного потенциала, формирование эффективной системы государственного управления.</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fum_ahd8rmfiao_r3h2f" Type="http://schemas.openxmlformats.org/officeDocument/2006/relationships/hyperlink" Target="http://kodeks.duckdns.org/document/160675" TargetMode="External"/><Relationship Id="rIdmbmpedmhjn67qazv9osup" Type="http://schemas.openxmlformats.org/officeDocument/2006/relationships/hyperlink" Target="http://kodeks.duckdns.org/document/203685" TargetMode="External"/><Relationship Id="rIdhdwr85x98k0hgvsnxakco" Type="http://schemas.openxmlformats.org/officeDocument/2006/relationships/hyperlink" Target="http://kodeks.duckdns.org/document/559" TargetMode="External"/><Relationship Id="rId_b5xzlyjuzjajv1vylfst" Type="http://schemas.openxmlformats.org/officeDocument/2006/relationships/hyperlink" Target="http://kodeks.duckdns.org/document/97413#p1" TargetMode="External"/><Relationship Id="rIdxuryek4flapu0gsuscefl" Type="http://schemas.openxmlformats.org/officeDocument/2006/relationships/hyperlink" Target="http://kodeks.duckdns.org/document/97413"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2026-09-23T09:17:15.270Z</dcterms:created>
  <dcterms:modified xsi:type="dcterms:W3CDTF">2026-09-23T09:17:15.270Z</dcterms:modified>
</cp:coreProperties>
</file>

<file path=docProps/custom.xml><?xml version="1.0" encoding="utf-8"?>
<Properties xmlns="http://schemas.openxmlformats.org/officeDocument/2006/custom-properties" xmlns:vt="http://schemas.openxmlformats.org/officeDocument/2006/docPropsVTypes"/>
</file>