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both"/>
      </w:pPr>
      <w:r>
        <w:rPr>
          <w:rFonts w:ascii="Arial" w:cs="Arial" w:eastAsia="Arial" w:hAnsi="Arial"/>
          <w:sz w:val="32"/>
          <w:szCs w:val="32"/>
        </w:rPr>
        <w:t xml:space="preserve">ПРАВИТЕЛЬСТВО КЫРГЫЗСКОЙ РЕСПУБЛИКИ</w:t>
      </w:r>
    </w:p>
    <w:p>
      <w:pPr>
        <w:spacing w:after="480"/>
        <w:jc w:val="both"/>
      </w:pPr>
      <w:r>
        <w:rPr>
          <w:rFonts w:ascii="Arial" w:cs="Arial" w:eastAsia="Arial" w:hAnsi="Arial"/>
          <w:sz w:val="24"/>
          <w:szCs w:val="24"/>
        </w:rPr>
        <w:t xml:space="preserve">ПОСТАНОВЛЕНИЕ</w:t>
      </w:r>
    </w:p>
    <w:p>
      <w:pPr>
        <w:spacing w:after="240"/>
        <w:jc w:val="left"/>
      </w:pPr>
      <w:r>
        <w:rPr>
          <w:rFonts w:ascii="Arial" w:cs="Arial" w:eastAsia="Arial" w:hAnsi="Arial"/>
          <w:sz w:val="24"/>
          <w:szCs w:val="24"/>
        </w:rPr>
        <w:t xml:space="preserve">от 25 мая 2015 года № 317</w:t>
      </w:r>
    </w:p>
    <w:p>
      <w:pPr>
        <w:spacing w:after="240" w:before="200"/>
        <w:jc w:val="center"/>
      </w:pPr>
      <w:r>
        <w:rPr>
          <w:rFonts w:ascii="Arial" w:cs="Arial" w:eastAsia="Arial" w:hAnsi="Arial"/>
          <w:b/>
          <w:bCs/>
          <w:sz w:val="28"/>
          <w:szCs w:val="28"/>
        </w:rPr>
        <w:t xml:space="preserve">О Среднесрочном прогнозе социально-экономического</w:t>
      </w:r>
    </w:p>
    <w:p>
      <w:pPr>
        <w:spacing w:after="240" w:before="200"/>
        <w:jc w:val="center"/>
      </w:pPr>
      <w:r>
        <w:rPr>
          <w:rFonts w:ascii="Arial" w:cs="Arial" w:eastAsia="Arial" w:hAnsi="Arial"/>
          <w:b/>
          <w:bCs/>
          <w:sz w:val="28"/>
          <w:szCs w:val="28"/>
        </w:rPr>
        <w:t xml:space="preserve">развития Кыргызской Республики на 2016-2018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определения макроэкономических параметров развития и формирования среднесрочного прогноза бюджета Кыргызской Республики на 2016-2018 годы, в соответствии с </w:t>
      </w:r>
      <w:hyperlink w:history="1" r:id="rIdiiy7cb2vcnr02lxhcx-h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10 и 17 </w:t>
      </w:r>
      <w:hyperlink w:history="1" r:id="rId0rcetmj9shw2nokjfgm4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k5z27hofild2fad_evjnk">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2016-2018 годы согласно приложению.</w:t>
      </w:r>
    </w:p>
    <w:p>
      <w:pPr>
        <w:spacing w:after="120"/>
        <w:jc w:val="both"/>
      </w:pPr>
      <w:r>
        <w:rPr>
          <w:rFonts w:ascii="Arial" w:cs="Arial" w:eastAsia="Arial" w:hAnsi="Arial"/>
          <w:sz w:val="24"/>
          <w:szCs w:val="24"/>
        </w:rPr>
        <w:t xml:space="preserve">2.Министерству финансов Кыргызской Республики при формировании среднесрочного прогноза бюджета взять за основу утвержденные макроэкономические параметры развития Кыргызской Республики на 2016-2018 годы.</w:t>
      </w:r>
    </w:p>
    <w:p>
      <w:pPr>
        <w:spacing w:after="120"/>
        <w:jc w:val="both"/>
      </w:pPr>
      <w:r>
        <w:rPr>
          <w:rFonts w:ascii="Arial" w:cs="Arial" w:eastAsia="Arial" w:hAnsi="Arial"/>
          <w:sz w:val="24"/>
          <w:szCs w:val="24"/>
        </w:rPr>
        <w:t xml:space="preserve">3. Министерствам,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принять за основу утвержденные макроэкономические параметры развития на 2016-2018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4. Министерству экономики Кыргызской Республики осуществлять мониторинг выполнения целевых показателей социально-экономического развития Кыргызской Республики.</w:t>
      </w:r>
    </w:p>
    <w:p>
      <w:pPr>
        <w:spacing w:after="120"/>
        <w:jc w:val="both"/>
      </w:pPr>
      <w:r>
        <w:rPr>
          <w:rFonts w:ascii="Arial" w:cs="Arial" w:eastAsia="Arial" w:hAnsi="Arial"/>
          <w:sz w:val="24"/>
          <w:szCs w:val="24"/>
        </w:rPr>
        <w:t xml:space="preserve">5. Признать утратившим силу постановление Правительства Кыргызской Республики «О Среднесрочном прогнозе социально-экономического развития Кыргызской Республики на 2014-2016 годы» от 12 апреля 2013 года № 190.</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Среднесрочный прогноз
 социально-экономического развития</w:t>
      </w:r>
    </w:p>
    <w:p>
      <w:pPr>
        <w:spacing w:after="120"/>
        <w:jc w:val="both"/>
      </w:pPr>
      <w:r>
        <w:rPr>
          <w:rFonts w:ascii="Arial" w:cs="Arial" w:eastAsia="Arial" w:hAnsi="Arial"/>
          <w:sz w:val="24"/>
          <w:szCs w:val="24"/>
        </w:rPr>
        <w:t xml:space="preserve">Кыргызской Республики на 2016-2018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Основной целью Среднесрочного прогноза социально-экономического развития Кыргызской Республики на 2016-2018 годы является определение ориентиров и мер социально-экономической политики для государственных органов, органов местного самоуправления, хозяйствующих субъектов, населения на среднесрочный период путем уточнения и конкретизации тенденций и предпосылок, выявления имеющихся ресурсов и возможных факторов риска для развития экономики страны.</w:t>
      </w:r>
    </w:p>
    <w:p>
      <w:pPr>
        <w:spacing w:after="120"/>
        <w:ind w:firstLine="567"/>
        <w:jc w:val="both"/>
      </w:pPr>
      <w:r>
        <w:rPr>
          <w:rFonts w:ascii="Arial" w:cs="Arial" w:eastAsia="Arial" w:hAnsi="Arial"/>
          <w:sz w:val="24"/>
          <w:szCs w:val="24"/>
        </w:rPr>
        <w:t xml:space="preserve">Макроэкономический прогноз рассчитан на основе анализа тенденций развития экономики за 2014 год, оценки ожидаемых показателей в 2015 году и учитывает факторы сложившейся фактической ситуации.</w:t>
      </w:r>
    </w:p>
    <w:p>
      <w:pPr>
        <w:spacing w:after="120"/>
        <w:ind w:firstLine="709"/>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2016-2018 годы является основой для разработки проекта Среднесрочного бюджета Кыргызской Республики и может корректироваться ежегодно или по мере необходимости уточняться при выявлении новых внутренних и внешних условий функционирования экономики, появлении новых факторов риска.</w:t>
      </w:r>
    </w:p>
    <w:p>
      <w:pPr>
        <w:spacing w:after="120"/>
        <w:ind w:firstLine="709"/>
        <w:jc w:val="both"/>
      </w:pPr>
      <w:r>
        <w:rPr>
          <w:rFonts w:ascii="Arial" w:cs="Arial" w:eastAsia="Arial" w:hAnsi="Arial"/>
          <w:sz w:val="24"/>
          <w:szCs w:val="24"/>
        </w:rPr>
        <w:t xml:space="preserve">На основе результатов итогов I квартала 2015 года будет формироваться новый</w:t>
      </w:r>
      <w:r>
        <w:rPr>
          <w:rFonts w:ascii="Arial" w:cs="Arial" w:eastAsia="Arial" w:hAnsi="Arial"/>
          <w:sz w:val="24"/>
          <w:szCs w:val="24"/>
        </w:rPr>
        <w:t xml:space="preserve">прогноз социально–экономического развития Кыргызской Республики на трехлетний период, включая предстоящий год.</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Краткий обзор макроэкономической ситуации</w:t>
      </w:r>
    </w:p>
    <w:p>
      <w:pPr>
        <w:spacing w:after="120"/>
        <w:ind w:firstLine="709"/>
        <w:jc w:val="both"/>
      </w:pPr>
      <w:r>
        <w:rPr>
          <w:rFonts w:ascii="Arial" w:cs="Arial" w:eastAsia="Arial" w:hAnsi="Arial"/>
          <w:sz w:val="24"/>
          <w:szCs w:val="24"/>
        </w:rPr>
        <w:t xml:space="preserve">за 2013-2014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 результатом итогов 2013-2014 годов является сохранение положительной динамики развития экономики, макроэкономическая и социальная стабильность в стране.</w:t>
      </w:r>
    </w:p>
    <w:p>
      <w:pPr>
        <w:spacing w:after="120"/>
        <w:ind w:firstLine="709"/>
        <w:jc w:val="both"/>
      </w:pPr>
      <w:r>
        <w:rPr>
          <w:rFonts w:ascii="Arial" w:cs="Arial" w:eastAsia="Arial" w:hAnsi="Arial"/>
          <w:sz w:val="24"/>
          <w:szCs w:val="24"/>
        </w:rPr>
        <w:t xml:space="preserve">В эти годы экономическое развитие Кыргызской Республики происходило на фоне сохраняющихся глобальных рисков и появившихся новых потенциально негативных факторов, в частности: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крупнейшие экономики стран еврозоны фактически находились в стадии стагнации, а также сохранялась вероятность ухудшения макроэкономической ситуации в еврозоне (последний прогноз МВФ фиксировал продолжение экономического спада в еврозоне в 2012-2014 годах – сокращение ВВП в среднем на 0,1 %);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динамики развития экономики Китая, что фактически уже происходит (с 10,4 % роста в 2010 году снизилась до 7,4 % в 2014 году);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заметное ослабление развития экономик стран – основных торговых партнеров – России (с 3,4 % роста в 2012 году до 0,6 % в 2014 году) и Казахстана (с 5,0 % роста в 2012 году до 4,3 % в 2014 году);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сворачивание программы количественного смягчения Федеральной резервной системы США, что уже нанесло серьезный удар по экономикам крупных развивающихся стран (Индия, Индонезия, Бразилия, Турция), в которых происходит мощный отток капитала;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высокая волатильность фьючерсов на золото, снижение цены на 27,3 % (с 1657,5 долл. США за унцию в 2012 году до 1206,0 долл. США в 2014 году);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повышенное давление на обменный курс за счет укрепления курса доллара США по отношению к другим валютам и резкое снижение мировой цены на нефть (за 2014 год рубль обесценился на 71,9 %, тенге – на 18,7 %, белорусский рубль – на 24,6 %, армянский драм – на 17,1 %, сом – на 19,6 %);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геоэкономическая ситуация в странах - основных торговых партнерах (введение экономических санкций против России);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восходящий тренд уровня инфляции (в 2014 году уровень инфляции вырос в Белоруссии на 16,2 %, России – на 11,4 %, Казахстане – на 7,4 %, Кыргызстане – на 10,5 %);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влияние неблагоприятных природно-климатических условий для развития сельского хозяйства и энергетики страны.</w:t>
      </w:r>
    </w:p>
    <w:p>
      <w:pPr>
        <w:spacing w:after="120"/>
        <w:ind w:firstLine="709"/>
        <w:jc w:val="both"/>
      </w:pPr>
      <w:r>
        <w:rPr>
          <w:rFonts w:ascii="Arial" w:cs="Arial" w:eastAsia="Arial" w:hAnsi="Arial"/>
          <w:b w:val="false"/>
          <w:bCs w:val="false"/>
          <w:sz w:val="24"/>
          <w:szCs w:val="24"/>
        </w:rPr>
        <w:t xml:space="preserve">Экономический рост в стране на уровне 10,9 % в 2013 году стал самым высоким показателем среди стран-участниц СНГ. При этом кумулятивный показатель уровня развития мировой экономики составил 3,3 %, в основном за счет положительных вкладов Китая и Индии, с ростом на уровне 7,4 % и 7,5 %, соответственно. Россия завершила год с ростом на 0,6 %, Казахстан - на 4,3 %.</w:t>
      </w:r>
    </w:p>
    <w:p>
      <w:pPr>
        <w:spacing w:after="120"/>
        <w:ind w:firstLine="709"/>
        <w:jc w:val="both"/>
      </w:pPr>
      <w:r>
        <w:rPr>
          <w:rFonts w:ascii="Arial" w:cs="Arial" w:eastAsia="Arial" w:hAnsi="Arial"/>
          <w:sz w:val="24"/>
          <w:szCs w:val="24"/>
        </w:rPr>
        <w:t xml:space="preserve">Основным фактором экономического роста в 2013 году стало значительное увеличение промышленного производства, в частности, за счет наращивания объемов производства золота на предприятиях по разработке месторождения Кумтор после ремонта, а также реализация крупных инвестиционных проектов, освоенных в сумме 32 млрд сомов.</w:t>
      </w:r>
    </w:p>
    <w:p>
      <w:pPr>
        <w:spacing w:after="120"/>
        <w:ind w:firstLine="709"/>
        <w:jc w:val="both"/>
      </w:pPr>
      <w:r>
        <w:rPr>
          <w:rFonts w:ascii="Arial" w:cs="Arial" w:eastAsia="Arial" w:hAnsi="Arial"/>
          <w:sz w:val="24"/>
          <w:szCs w:val="24"/>
        </w:rPr>
        <w:t xml:space="preserve">Номинальный объем валового внутреннего продукта (далее - ВВП) за 2013 год сложился в размере 355,3 млрд сомов. В расчете на душу населения объем ВВП составил 65,0 тыс. сомов и в сравнении с 2012 годом возрос на 8,6 %. </w:t>
      </w:r>
    </w:p>
    <w:p>
      <w:pPr>
        <w:spacing w:after="12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Структура и темпы роста по секторам, формирующим ВВП</w:t>
      </w:r>
      <w:hyperlink w:history="1" r:id="rIdudqbrqdmwdbfqaaxnmn-5">
        <w:r>
          <w:rPr>
            <w:rFonts w:ascii="Arial" w:cs="Arial" w:eastAsia="Arial" w:hAnsi="Arial"/>
            <w:b/>
            <w:bCs/>
            <w:color w:val="1D4ED8"/>
            <w:sz w:val="32"/>
            <w:szCs w:val="32"/>
            <w:u w:val="single"/>
          </w:rPr>
          <w:t xml:space="preserve">[1]</w:t>
        </w:r>
      </w:hyperlink>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63"/>
        <w:gridCol w:w="1096"/>
        <w:gridCol w:w="1096"/>
        <w:gridCol w:w="1096"/>
        <w:gridCol w:w="1057"/>
        <w:gridCol w:w="1057"/>
        <w:gridCol w:w="1057"/>
        <w:gridCol w:w="1057"/>
      </w:tblGrid>
      <w:tr>
        <w:tc>
          <w:tcPr>
            <w:tcW w:type="dxa" w:w="2663"/>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Показатели</w:t>
            </w:r>
          </w:p>
        </w:tc>
        <w:tc>
          <w:tcPr>
            <w:tcW w:type="dxa" w:w="3288"/>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2013 год, факт</w:t>
            </w:r>
          </w:p>
        </w:tc>
        <w:tc>
          <w:tcPr>
            <w:tcW w:type="dxa" w:w="422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2014 год, предв. факт</w:t>
            </w:r>
          </w:p>
        </w:tc>
      </w:tr>
      <w:tr>
        <w:tc>
          <w:tcPr>
            <w:vMerge w:val="continue"/>
            <w:tcBorders>
              <w:top w:val="single" w:color="CBBF9E" w:sz="4"/>
              <w:left w:val="single" w:color="CBBF9E" w:sz="4"/>
              <w:bottom w:val="single" w:color="CBBF9E" w:sz="4"/>
              <w:right w:val="single" w:color="CBBF9E" w:sz="4"/>
            </w:tcBorders>
          </w:tcP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млн сомов</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темп роста, %</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 %</w:t>
            </w:r>
          </w:p>
          <w:p>
            <w:pPr>
              <w:jc w:val="center"/>
            </w:pPr>
            <w:r>
              <w:rPr>
                <w:rFonts w:ascii="Arial" w:cs="Arial" w:eastAsia="Arial" w:hAnsi="Arial"/>
                <w:b/>
                <w:bCs/>
                <w:sz w:val="24"/>
                <w:szCs w:val="24"/>
              </w:rPr>
              <w:t xml:space="preserve">к ВВП</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млн сомов</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темп роста, %</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 %</w:t>
            </w:r>
          </w:p>
          <w:p>
            <w:pPr>
              <w:jc w:val="center"/>
            </w:pPr>
            <w:r>
              <w:rPr>
                <w:rFonts w:ascii="Arial" w:cs="Arial" w:eastAsia="Arial" w:hAnsi="Arial"/>
                <w:b/>
                <w:bCs/>
                <w:sz w:val="24"/>
                <w:szCs w:val="24"/>
              </w:rPr>
              <w:t xml:space="preserve">к ВВП</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доля вклада в рост ВВП,</w:t>
            </w:r>
          </w:p>
          <w:p>
            <w:pPr>
              <w:jc w:val="center"/>
            </w:pPr>
            <w:r>
              <w:rPr>
                <w:rFonts w:ascii="Arial" w:cs="Arial" w:eastAsia="Arial" w:hAnsi="Arial"/>
                <w:b/>
                <w:bCs/>
                <w:sz w:val="24"/>
                <w:szCs w:val="24"/>
              </w:rPr>
              <w:t xml:space="preserve">п. п.</w:t>
            </w:r>
          </w:p>
        </w:tc>
      </w:tr>
      <w:tr>
        <w:tc>
          <w:tcPr>
            <w:tcW w:type="dxa" w:w="266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ВВП</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355294,8</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110,9</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397277,1</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103,6</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3,6</w:t>
            </w:r>
          </w:p>
        </w:tc>
      </w:tr>
      <w:tr>
        <w:tc>
          <w:tcPr>
            <w:tcW w:type="dxa" w:w="26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52007,6</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14,64</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58888,7</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99,4</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w:t>
            </w:r>
          </w:p>
        </w:tc>
      </w:tr>
      <w:tr>
        <w:tc>
          <w:tcPr>
            <w:tcW w:type="dxa" w:w="26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65801,5</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135,9</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18,52</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61741,3</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15,6</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-0,31</w:t>
            </w:r>
          </w:p>
        </w:tc>
      </w:tr>
      <w:tr>
        <w:tc>
          <w:tcPr>
            <w:tcW w:type="dxa" w:w="26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22466,5</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116,4</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6,32</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29461,1</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124,9</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1,57</w:t>
            </w:r>
          </w:p>
        </w:tc>
      </w:tr>
      <w:tr>
        <w:tc>
          <w:tcPr>
            <w:tcW w:type="dxa" w:w="26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165603,7</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46,61</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191139,3</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48,1</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1,94</w:t>
            </w:r>
          </w:p>
        </w:tc>
      </w:tr>
      <w:tr>
        <w:tc>
          <w:tcPr>
            <w:tcW w:type="dxa" w:w="26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 и импорт</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49415,5</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110,9</w:t>
            </w:r>
          </w:p>
        </w:tc>
        <w:tc>
          <w:tcPr>
            <w:tcW w:type="dxa" w:w="10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13,91</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56046,7</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 итогам 2014 года экономический рост в стране, по предварительной оценке Национального статистического комитета Кыргызской Республики (далее - НСК), составил 103,6 %, номинальный объем ВВП сложился в сумме 397,3 млрд сомов. Без учета предприятий по разработке месторождения Кумтор прирост реального ВВП составил                4,6 %.</w:t>
      </w:r>
    </w:p>
    <w:p>
      <w:pPr>
        <w:spacing w:after="120"/>
        <w:ind w:firstLine="709"/>
        <w:jc w:val="both"/>
      </w:pPr>
      <w:r>
        <w:rPr>
          <w:rFonts w:ascii="Arial" w:cs="Arial" w:eastAsia="Arial" w:hAnsi="Arial"/>
          <w:sz w:val="24"/>
          <w:szCs w:val="24"/>
        </w:rPr>
        <w:t xml:space="preserve">В расчете на душу населения объем ВВП составил 71,2 тыс. сомов и по сравнению с 2013 годом возрос на 1,5 %.</w:t>
      </w:r>
    </w:p>
    <w:p>
      <w:pPr>
        <w:spacing w:after="120"/>
        <w:ind w:firstLine="709"/>
        <w:jc w:val="both"/>
      </w:pPr>
      <w:r>
        <w:rPr>
          <w:rFonts w:ascii="Arial" w:cs="Arial" w:eastAsia="Arial" w:hAnsi="Arial"/>
          <w:sz w:val="24"/>
          <w:szCs w:val="24"/>
        </w:rPr>
        <w:t xml:space="preserve">Закрепление положительной динамики экономического роста активно продвигалось в рамках Плана мероприятий Правительства Кыргызской Республики на 2014 год по реализации Программы по переходу Кыргызской Республики к устойчивому развитию на 2013-2017 годы, утвержденного постановлением Правительства Кыргызской Республики «О мерах по реализации Программы по переходу Кыргызской Республики к устойчивому развитию на 2013-2017 годы в 2014 году» от 28 февраля 2014 года № 110, большая часть которого сфокусирована на снятии барьеров и упрощении среды для бизнеса и реализации инвестиционных проектов национального масштаба для развития стратегических отраслей. За 2014 год реализовано 15 проектов, из них 7 проектов - в агропромышленном комплексе, 4 проекта - в энергетическом секторе, 4 проекта - в сфере транспорта и коммуникаций.</w:t>
      </w:r>
    </w:p>
    <w:p>
      <w:pPr>
        <w:spacing w:after="120"/>
        <w:ind w:firstLine="709"/>
        <w:jc w:val="both"/>
      </w:pPr>
      <w:r>
        <w:rPr>
          <w:rFonts w:ascii="Arial" w:cs="Arial" w:eastAsia="Arial" w:hAnsi="Arial"/>
          <w:sz w:val="24"/>
          <w:szCs w:val="24"/>
        </w:rPr>
        <w:t xml:space="preserve">Экономический рост обеспечен за счет положительного вклада строительства (реальный рост - на 24,9 %) на уровне 1,57 и сферы услуг (реальный рост на 4,1 %) на уровне 1,94 процентных пункта. Отрицательный вклад в формирование ВВП внесло сокращение в производстве сельского хозяйства (снижение объемов - на 0,6 %) на уровне 0,09 и промышленности (снижение объемов - на 1,7 %) на уровне 0,31 процентных пункта, где основными факторами явились неблагоприятные природно-климатические условия для развития сельского хозяйства (позднее наступление весны, засуха и отсутствие полива, пик наступления маловодья) и заметное снижение динамики промышленного производства за счет спада производства золота.</w:t>
      </w:r>
    </w:p>
    <w:p>
      <w:pPr>
        <w:spacing w:after="120"/>
        <w:ind w:firstLine="709"/>
        <w:jc w:val="both"/>
      </w:pPr>
      <w:r>
        <w:rPr>
          <w:rFonts w:ascii="Arial" w:cs="Arial" w:eastAsia="Arial" w:hAnsi="Arial"/>
          <w:sz w:val="24"/>
          <w:szCs w:val="24"/>
        </w:rPr>
        <w:t xml:space="preserve">Выросли доходы населения и отмечено улучшение ситуации на рынке труда. В соответствии с основными целевыми показателями Национальной стратегией устойчивого развития Кыргызской Республики  на период 2013-2017 годы (далее - НСУР), утвержденной Указом Президента Кыргызской Республики от 21 января 2013 года № 11, ежегодно должно создаваться 70 тыс. рабочих мест. За 2014 год в республике создано 110252 рабочих места (за 2013 год – 110951 рабочее место). При содействии государственных служб занятости за 2014 год было трудоустроено 48,1 тыс. чел.; это на 21 % больше, чем в 2013 году (39,7 тыс. чел.). </w:t>
      </w:r>
    </w:p>
    <w:p>
      <w:pPr>
        <w:spacing w:after="120"/>
        <w:ind w:firstLine="709"/>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в 2014 году составила 12435 сомов, увеличившись по сравнению с 2013 годом на 8,8 %, а ее реальный размер, исчисленный с учетом индекса потребительских цен, возрос на 1,2 % (в 2013 году составляла 11426 сомов и по сравнению с 2012 годом увеличилась на 4,2 %), что в 2,5 раза покрывает величину прожиточного минимума. Среднегодовая величина прожиточного минимума в 2014 году составила 4981,51 сома и по сравнению с 2013 годом возросла на 8,3 %. За последние 4 года средний размер пенсии увеличился на 22,3 % с 3760 до 4600 сомов, а по отношению к прожиточного минимума пенсионера - с 95,6 % до 103,7 % в 2014 году.</w:t>
      </w:r>
    </w:p>
    <w:p>
      <w:pPr>
        <w:spacing w:after="120"/>
        <w:ind w:firstLine="709"/>
        <w:jc w:val="both"/>
      </w:pPr>
      <w:r>
        <w:rPr>
          <w:rFonts w:ascii="Arial" w:cs="Arial" w:eastAsia="Arial" w:hAnsi="Arial"/>
          <w:sz w:val="24"/>
          <w:szCs w:val="24"/>
        </w:rPr>
        <w:t xml:space="preserve">За 2014 год удельный вес расходов из республиканского бюджета на социальную сферу (53,4 млрд сомов) составил 57,8 % (удельный вес расходов из республиканского бюджета на социальную сферу в 2013 году составлял 52,4 %). Социальные обязательства в рамках утвержденных параметров выполнены.</w:t>
      </w:r>
    </w:p>
    <w:p>
      <w:pPr>
        <w:spacing w:after="120"/>
        <w:ind w:firstLine="709"/>
        <w:jc w:val="both"/>
      </w:pPr>
      <w:r>
        <w:rPr>
          <w:rFonts w:ascii="Arial" w:cs="Arial" w:eastAsia="Arial" w:hAnsi="Arial"/>
          <w:sz w:val="24"/>
          <w:szCs w:val="24"/>
        </w:rPr>
        <w:t xml:space="preserve">Количественные параметры макроэкономической стабильности, принятые НСУР, в среднем выполняются. Так, средний темп экономического роста в период за 2013-2014 годы составлял 107,3 % в год.</w:t>
      </w:r>
    </w:p>
    <w:p>
      <w:pPr>
        <w:spacing w:after="120"/>
        <w:ind w:firstLine="709"/>
        <w:jc w:val="both"/>
      </w:pPr>
      <w:r>
        <w:rPr>
          <w:rFonts w:ascii="Arial" w:cs="Arial" w:eastAsia="Arial" w:hAnsi="Arial"/>
          <w:sz w:val="24"/>
          <w:szCs w:val="24"/>
        </w:rPr>
        <w:t xml:space="preserve">Ключевыми направлениями экономической политики являются достижение и сохранение макроэкономической стабильности через сокращение бюджетного дефицита, не превышение предельного значения уровня внешнего долга к ВВП (60 % к ВВП). В 2013-2014 годах размер дефицита бюджета не превысил целевые ориентиры </w:t>
      </w:r>
      <w:hyperlink w:history="1" r:id="rIdrssa4yw5owzhhhychjvgb">
        <w:r>
          <w:rPr>
            <w:rFonts w:ascii="Arial" w:cs="Arial" w:eastAsia="Arial" w:hAnsi="Arial"/>
            <w:color w:val="1D4ED8"/>
            <w:sz w:val="24"/>
            <w:szCs w:val="24"/>
            <w:u w:val="single"/>
          </w:rPr>
          <w:t xml:space="preserve">[u1]</w:t>
        </w:r>
      </w:hyperlink>
      <w:r>
        <w:rPr>
          <w:rFonts w:ascii="Arial" w:cs="Arial" w:eastAsia="Arial" w:hAnsi="Arial"/>
          <w:sz w:val="24"/>
          <w:szCs w:val="24"/>
        </w:rPr>
        <w:t xml:space="preserve">(не более 5 % к ВВП) и находился в диапазоне 0,5-0,7 % к ВВП, а уровень государственного внешнего долга составлял в среднем 47,4 % к ВВП (см. табл.2).</w:t>
      </w:r>
    </w:p>
    <w:p>
      <w:pPr>
        <w:spacing w:after="120"/>
        <w:ind w:firstLine="709"/>
        <w:jc w:val="right"/>
      </w:pPr>
      <w:r>
        <w:rPr>
          <w:rFonts w:ascii="Arial" w:cs="Arial" w:eastAsia="Arial" w:hAnsi="Arial"/>
          <w:sz w:val="24"/>
          <w:szCs w:val="24"/>
        </w:rPr>
        <w:t xml:space="preserve">Таблица 2</w:t>
      </w:r>
    </w:p>
    <w:p>
      <w:pPr>
        <w:spacing w:after="240" w:before="200"/>
        <w:ind w:firstLine="567"/>
        <w:jc w:val="center"/>
      </w:pPr>
      <w:r>
        <w:rPr>
          <w:rFonts w:ascii="Arial" w:cs="Arial" w:eastAsia="Arial" w:hAnsi="Arial"/>
          <w:b/>
          <w:bCs/>
          <w:sz w:val="32"/>
          <w:szCs w:val="32"/>
        </w:rPr>
        <w:t xml:space="preserve">Сравнительная таблица </w:t>
      </w:r>
    </w:p>
    <w:p>
      <w:pPr>
        <w:spacing w:after="240" w:before="200"/>
        <w:ind w:firstLine="567"/>
        <w:jc w:val="center"/>
      </w:pPr>
      <w:r>
        <w:rPr>
          <w:rFonts w:ascii="Arial" w:cs="Arial" w:eastAsia="Arial" w:hAnsi="Arial"/>
          <w:b/>
          <w:bCs/>
          <w:sz w:val="32"/>
          <w:szCs w:val="32"/>
        </w:rPr>
        <w:t xml:space="preserve">фактических данных ключевых количественных параметров макроэкономической стабильности с целевыми параметрами НСУР на период 2013-2017 годы</w:t>
      </w:r>
    </w:p>
    <w:p>
      <w:pPr>
        <w:spacing w:after="12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4"/>
        <w:gridCol w:w="1057"/>
        <w:gridCol w:w="2179"/>
        <w:gridCol w:w="877"/>
        <w:gridCol w:w="1047"/>
        <w:gridCol w:w="1263"/>
      </w:tblGrid>
      <w:tr>
        <w:tc>
          <w:tcPr>
            <w:tcW w:type="dxa" w:w="3754"/>
            <w:vMerge w:val="restart"/>
            <w:tcBorders>
              <w:top w:val="single" w:color="CBBF9E" w:sz="4"/>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Показатели</w:t>
            </w:r>
          </w:p>
        </w:tc>
        <w:tc>
          <w:tcPr>
            <w:tcW w:type="dxa" w:w="1057"/>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Ед.</w:t>
            </w:r>
          </w:p>
          <w:p>
            <w:pPr>
              <w:jc w:val="center"/>
            </w:pPr>
            <w:r>
              <w:rPr>
                <w:rFonts w:ascii="Arial" w:cs="Arial" w:eastAsia="Arial" w:hAnsi="Arial"/>
                <w:b/>
                <w:bCs/>
                <w:sz w:val="24"/>
                <w:szCs w:val="24"/>
              </w:rPr>
              <w:t xml:space="preserve">измер.</w:t>
            </w:r>
          </w:p>
        </w:tc>
        <w:tc>
          <w:tcPr>
            <w:tcW w:type="dxa" w:w="2179"/>
            <w:vMerge w:val="restart"/>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Целевой показатель НСУР </w:t>
            </w:r>
          </w:p>
          <w:p>
            <w:pPr>
              <w:jc w:val="center"/>
            </w:pPr>
            <w:r>
              <w:rPr>
                <w:rFonts w:ascii="Arial" w:cs="Arial" w:eastAsia="Arial" w:hAnsi="Arial"/>
                <w:b/>
                <w:bCs/>
                <w:sz w:val="24"/>
                <w:szCs w:val="24"/>
              </w:rPr>
              <w:t xml:space="preserve">на 2013-2017 годы</w:t>
            </w:r>
          </w:p>
        </w:tc>
        <w:tc>
          <w:tcPr>
            <w:tcW w:type="dxa" w:w="877"/>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2013 год</w:t>
            </w:r>
          </w:p>
        </w:tc>
        <w:tc>
          <w:tcPr>
            <w:tcW w:type="dxa" w:w="1047"/>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2014 год</w:t>
            </w:r>
          </w:p>
        </w:tc>
        <w:tc>
          <w:tcPr>
            <w:tcW w:type="dxa" w:w="126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 среднем за 2013-2014 годы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факт</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предв. факт</w:t>
            </w:r>
          </w:p>
        </w:tc>
        <w:tc>
          <w:tcPr>
            <w:vMerge w:val="continue"/>
            <w:tcBorders>
              <w:top w:val="single" w:color="CBBF9E" w:sz="4"/>
              <w:left w:val="none" w:color="auto" w:sz="0"/>
              <w:bottom w:val="single" w:color="CBBF9E" w:sz="4"/>
              <w:right w:val="single" w:color="CBBF9E" w:sz="4"/>
            </w:tcBorders>
          </w:tcPr>
          <w:p/>
        </w:tc>
      </w:tr>
      <w:tr>
        <w:tc>
          <w:tcPr>
            <w:tcW w:type="dxa" w:w="37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ВВП</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1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не менее 7 %</w:t>
            </w:r>
          </w:p>
        </w:tc>
        <w:tc>
          <w:tcPr>
            <w:tcW w:type="dxa" w:w="8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110,9</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2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r>
      <w:tr>
        <w:tc>
          <w:tcPr>
            <w:tcW w:type="dxa" w:w="37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Дефицит бюджета</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 %</w:t>
            </w:r>
          </w:p>
          <w:p>
            <w:pPr>
              <w:jc w:val="center"/>
            </w:pPr>
            <w:r>
              <w:rPr>
                <w:rFonts w:ascii="Arial" w:cs="Arial" w:eastAsia="Arial" w:hAnsi="Arial"/>
                <w:sz w:val="24"/>
                <w:szCs w:val="24"/>
              </w:rPr>
              <w:t xml:space="preserve">к ВВП</w:t>
            </w:r>
          </w:p>
        </w:tc>
        <w:tc>
          <w:tcPr>
            <w:tcW w:type="dxa" w:w="217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не более 5 % к ВВП</w:t>
            </w:r>
          </w:p>
        </w:tc>
        <w:tc>
          <w:tcPr>
            <w:tcW w:type="dxa" w:w="8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w:t>
            </w:r>
          </w:p>
        </w:tc>
        <w:tc>
          <w:tcPr>
            <w:tcW w:type="dxa" w:w="12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0,6</w:t>
            </w:r>
          </w:p>
        </w:tc>
      </w:tr>
      <w:tr>
        <w:tc>
          <w:tcPr>
            <w:tcW w:type="dxa" w:w="37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Государственный внешний долг</w:t>
            </w:r>
          </w:p>
        </w:tc>
        <w:tc>
          <w:tcPr>
            <w:tcW w:type="dxa" w:w="10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 %</w:t>
            </w:r>
          </w:p>
          <w:p>
            <w:pPr>
              <w:jc w:val="center"/>
            </w:pPr>
            <w:r>
              <w:rPr>
                <w:rFonts w:ascii="Arial" w:cs="Arial" w:eastAsia="Arial" w:hAnsi="Arial"/>
                <w:sz w:val="24"/>
                <w:szCs w:val="24"/>
              </w:rPr>
              <w:t xml:space="preserve">к ВВП</w:t>
            </w:r>
          </w:p>
        </w:tc>
        <w:tc>
          <w:tcPr>
            <w:tcW w:type="dxa" w:w="21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до 60 % к ВВП</w:t>
            </w:r>
          </w:p>
        </w:tc>
        <w:tc>
          <w:tcPr>
            <w:tcW w:type="dxa" w:w="87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43,8</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50,9</w:t>
            </w:r>
          </w:p>
        </w:tc>
        <w:tc>
          <w:tcPr>
            <w:tcW w:type="dxa" w:w="12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47,4</w:t>
            </w:r>
          </w:p>
        </w:tc>
      </w:tr>
    </w:tbl>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Индекс потребительских цен в 2014 году составил 110,5 % (к декабрю 2013 года), среднегодовое значение (январь-декабрь 2014 года к январю-декабрю 2013 года) составило 107,5 %.</w:t>
      </w:r>
    </w:p>
    <w:p>
      <w:pPr>
        <w:spacing w:after="120"/>
        <w:ind w:firstLine="709"/>
        <w:jc w:val="both"/>
      </w:pPr>
      <w:r>
        <w:rPr>
          <w:rFonts w:ascii="Arial" w:cs="Arial" w:eastAsia="Arial" w:hAnsi="Arial"/>
          <w:sz w:val="24"/>
          <w:szCs w:val="24"/>
        </w:rPr>
        <w:t xml:space="preserve">Инфляция в 2014 году изменялась в диапазоне от 3,6 % до 10,5 %. Совместные действия Правительства Кыргызской Республики (далее – Правительство) и Национального банка Кыргызской Республики (далее – НБКР), в связи с ускорением инфляционных процессов в стране, были направлены на стабилизацию цен. Учитывая ситуацию на валютном рынке, в целях сглаживания резких колебаний обменного курса доллара США, предотвращения спекулятивных операций на валютном рынке, недопущения резкого повышения цен на товары, услуги и ГСМ, был принят План первоочередных мер, утвержденный от 17 марта 2014 года          № 17-449, за ходом исполнения которого в течение 2014 года ежемесячно осуществлялся мониторинг.</w:t>
      </w:r>
    </w:p>
    <w:p>
      <w:pPr>
        <w:spacing w:after="120"/>
        <w:ind w:firstLine="709"/>
        <w:jc w:val="right"/>
      </w:pPr>
      <w:r>
        <w:rPr>
          <w:rFonts w:ascii="Arial" w:cs="Arial" w:eastAsia="Arial" w:hAnsi="Arial"/>
          <w:sz w:val="24"/>
          <w:szCs w:val="24"/>
        </w:rPr>
        <w:t xml:space="preserve">Таблица 3</w:t>
      </w:r>
    </w:p>
    <w:p>
      <w:pPr>
        <w:spacing w:after="240" w:before="200"/>
        <w:ind w:firstLine="709"/>
        <w:jc w:val="center"/>
      </w:pPr>
      <w:r>
        <w:rPr>
          <w:rFonts w:ascii="Arial" w:cs="Arial" w:eastAsia="Arial" w:hAnsi="Arial"/>
          <w:b/>
          <w:bCs/>
          <w:sz w:val="24"/>
          <w:szCs w:val="24"/>
        </w:rPr>
        <w:t xml:space="preserve">Показатели индекса потребительских цен (ИПЦ)</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7"/>
        <w:gridCol w:w="2036"/>
        <w:gridCol w:w="1866"/>
      </w:tblGrid>
      <w:tr>
        <w:tc>
          <w:tcPr>
            <w:tcW w:type="dxa" w:w="62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ИПЦ</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18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r>
      <w:tr>
        <w:tc>
          <w:tcPr>
            <w:tcW w:type="dxa" w:w="6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декабрю предыдущего года</w:t>
            </w:r>
          </w:p>
        </w:tc>
        <w:tc>
          <w:tcPr>
            <w:tcW w:type="dxa" w:w="20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18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110,5</w:t>
            </w:r>
          </w:p>
        </w:tc>
      </w:tr>
      <w:tr>
        <w:tc>
          <w:tcPr>
            <w:tcW w:type="dxa" w:w="6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с соответствующему периоду предыдущего года (среднегодовое значение)</w:t>
            </w:r>
          </w:p>
        </w:tc>
        <w:tc>
          <w:tcPr>
            <w:tcW w:type="dxa" w:w="20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106,6</w:t>
            </w:r>
          </w:p>
        </w:tc>
        <w:tc>
          <w:tcPr>
            <w:tcW w:type="dxa" w:w="18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r>
    </w:tbl>
    <w:p>
      <w:pPr>
        <w:spacing w:after="120"/>
        <w:ind w:firstLine="709"/>
        <w:jc w:val="both"/>
      </w:pPr>
      <w:r>
        <w:rPr>
          <w:rFonts w:ascii="Arial" w:cs="Arial" w:eastAsia="Arial" w:hAnsi="Arial"/>
          <w:sz w:val="24"/>
          <w:szCs w:val="24"/>
        </w:rPr>
        <w:t xml:space="preserve"/>
      </w:r>
    </w:p>
    <w:p>
      <w:pPr>
        <w:spacing w:after="120"/>
        <w:ind w:firstLine="652"/>
        <w:jc w:val="both"/>
      </w:pPr>
      <w:r>
        <w:rPr>
          <w:rFonts w:ascii="Arial" w:cs="Arial" w:eastAsia="Arial" w:hAnsi="Arial"/>
          <w:sz w:val="24"/>
          <w:szCs w:val="24"/>
        </w:rPr>
        <w:t xml:space="preserve">Отмечалась позитивная динамика развития банковского сектора, что сопровождалось увеличением объема кредитного портфеля, без учета кредитов, предоставленных банкам и другим финансово-кредитным учреждениям, который, по состоянию на 31 декабря 2014 года, составил 78,6 млрд сомов, увеличившись с начала года на 45,9 % (к концу 2013 года составлял 54,0 млрд сомов). Возросли по сравнению с 2013 годом объемы потребительских кредитов на 36,7 %.</w:t>
      </w:r>
    </w:p>
    <w:p>
      <w:pPr>
        <w:spacing w:after="120"/>
        <w:ind w:firstLine="708"/>
        <w:jc w:val="both"/>
      </w:pPr>
      <w:r>
        <w:rPr>
          <w:rFonts w:ascii="Arial" w:cs="Arial" w:eastAsia="Arial" w:hAnsi="Arial"/>
          <w:sz w:val="24"/>
          <w:szCs w:val="24"/>
        </w:rPr>
        <w:t xml:space="preserve">Кредит в экономику</w:t>
      </w:r>
      <w:hyperlink w:history="1" r:id="rIdmarozdj80rghf_yxika1k">
        <w:r>
          <w:rPr>
            <w:rFonts w:ascii="Arial" w:cs="Arial" w:eastAsia="Arial" w:hAnsi="Arial"/>
            <w:color w:val="1D4ED8"/>
            <w:sz w:val="24"/>
            <w:szCs w:val="24"/>
            <w:u w:val="single"/>
          </w:rPr>
          <w:t xml:space="preserve">[2]</w:t>
        </w:r>
      </w:hyperlink>
      <w:r>
        <w:rPr>
          <w:rFonts w:ascii="Arial" w:cs="Arial" w:eastAsia="Arial" w:hAnsi="Arial"/>
          <w:sz w:val="24"/>
          <w:szCs w:val="24"/>
        </w:rPr>
        <w:t xml:space="preserve">в 2014 году составил 82,1 млрд сомов, увеличившись с начала года на 43,6 % (в 2013 году – 36,1 %).</w:t>
      </w:r>
    </w:p>
    <w:p>
      <w:pPr>
        <w:spacing w:after="120"/>
        <w:ind w:firstLine="709"/>
        <w:jc w:val="both"/>
      </w:pPr>
      <w:r>
        <w:rPr>
          <w:rFonts w:ascii="Arial" w:cs="Arial" w:eastAsia="Arial" w:hAnsi="Arial"/>
          <w:sz w:val="24"/>
          <w:szCs w:val="24"/>
        </w:rPr>
        <w:t xml:space="preserve">Предоставлены льготные кредиты фермерам, где шестью банками выдано кредитов на общую сумму 5,3 млрд сомов.</w:t>
      </w:r>
    </w:p>
    <w:p>
      <w:pPr>
        <w:spacing w:after="120"/>
        <w:ind w:firstLine="709"/>
        <w:jc w:val="both"/>
      </w:pPr>
      <w:r>
        <w:rPr>
          <w:rFonts w:ascii="Arial" w:cs="Arial" w:eastAsia="Arial" w:hAnsi="Arial"/>
          <w:sz w:val="24"/>
          <w:szCs w:val="24"/>
        </w:rPr>
        <w:t xml:space="preserve">Уровень капитализации экономики возрос с 23,3 % в 2013 году до 26,6 % в 2014 году, в основном за счет увеличения объемов иностранных кредитов (в 2,5 раза), средств населения (на 15,2 %), средств предприятий и организаций (на 15,0 %).</w:t>
      </w:r>
    </w:p>
    <w:p>
      <w:pPr>
        <w:spacing w:after="120"/>
        <w:ind w:firstLine="709"/>
        <w:jc w:val="right"/>
      </w:pPr>
      <w:r>
        <w:rPr>
          <w:rFonts w:ascii="Arial" w:cs="Arial" w:eastAsia="Arial" w:hAnsi="Arial"/>
          <w:sz w:val="24"/>
          <w:szCs w:val="24"/>
        </w:rPr>
        <w:t xml:space="preserve">Таблица 4</w:t>
      </w:r>
    </w:p>
    <w:p>
      <w:pPr>
        <w:spacing w:after="240" w:before="200"/>
        <w:ind w:firstLine="709"/>
        <w:jc w:val="center"/>
      </w:pPr>
      <w:r>
        <w:rPr>
          <w:rFonts w:ascii="Arial" w:cs="Arial" w:eastAsia="Arial" w:hAnsi="Arial"/>
          <w:b/>
          <w:bCs/>
          <w:sz w:val="32"/>
          <w:szCs w:val="32"/>
        </w:rPr>
        <w:t xml:space="preserve">Динамика роста инвестиции в основной капитал</w:t>
      </w:r>
    </w:p>
    <w:p>
      <w:pPr>
        <w:spacing w:after="240" w:before="200"/>
        <w:ind w:firstLine="709"/>
        <w:jc w:val="center"/>
      </w:pPr>
      <w:r>
        <w:rPr>
          <w:rFonts w:ascii="Arial" w:cs="Arial" w:eastAsia="Arial" w:hAnsi="Arial"/>
          <w:b/>
          <w:bCs/>
          <w:sz w:val="32"/>
          <w:szCs w:val="32"/>
        </w:rPr>
        <w:t xml:space="preserve"> за 2013-2014 годы</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9"/>
        <w:gridCol w:w="1580"/>
        <w:gridCol w:w="1580"/>
        <w:gridCol w:w="1660"/>
      </w:tblGrid>
      <w:tr>
        <w:tc>
          <w:tcPr>
            <w:tcW w:type="dxa" w:w="535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Показатели</w:t>
            </w:r>
          </w:p>
        </w:tc>
        <w:tc>
          <w:tcPr>
            <w:tcW w:type="dxa" w:w="1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год, </w:t>
            </w:r>
          </w:p>
          <w:p>
            <w:pPr>
              <w:jc w:val="center"/>
            </w:pPr>
            <w:r>
              <w:rPr>
                <w:rFonts w:ascii="Arial" w:cs="Arial" w:eastAsia="Arial" w:hAnsi="Arial"/>
                <w:b/>
                <w:bCs/>
                <w:sz w:val="24"/>
                <w:szCs w:val="24"/>
              </w:rPr>
              <w:t xml:space="preserve">факт</w:t>
            </w:r>
          </w:p>
        </w:tc>
        <w:tc>
          <w:tcPr>
            <w:tcW w:type="dxa" w:w="1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 </w:t>
            </w:r>
          </w:p>
          <w:p>
            <w:pPr>
              <w:jc w:val="center"/>
            </w:pPr>
            <w:r>
              <w:rPr>
                <w:rFonts w:ascii="Arial" w:cs="Arial" w:eastAsia="Arial" w:hAnsi="Arial"/>
                <w:b/>
                <w:bCs/>
                <w:sz w:val="24"/>
                <w:szCs w:val="24"/>
              </w:rPr>
              <w:t xml:space="preserve">факт</w:t>
            </w:r>
          </w:p>
        </w:tc>
        <w:tc>
          <w:tcPr>
            <w:tcW w:type="dxa" w:w="16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w:t>
            </w:r>
          </w:p>
          <w:p>
            <w:pPr>
              <w:jc w:val="center"/>
            </w:pPr>
            <w:r>
              <w:rPr>
                <w:rFonts w:ascii="Arial" w:cs="Arial" w:eastAsia="Arial" w:hAnsi="Arial"/>
                <w:b/>
                <w:bCs/>
                <w:sz w:val="24"/>
                <w:szCs w:val="24"/>
              </w:rPr>
              <w:t xml:space="preserve">предв. факт</w:t>
            </w:r>
          </w:p>
        </w:tc>
      </w:tr>
      <w:tr>
        <w:tc>
          <w:tcPr>
            <w:tcW w:type="dxa" w:w="5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73222,1</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82874,5</w:t>
            </w:r>
          </w:p>
        </w:tc>
        <w:tc>
          <w:tcPr>
            <w:tcW w:type="dxa" w:w="1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105821,8</w:t>
            </w:r>
          </w:p>
        </w:tc>
      </w:tr>
      <w:tr>
        <w:tc>
          <w:tcPr>
            <w:tcW w:type="dxa" w:w="5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w:t>
            </w:r>
          </w:p>
        </w:tc>
      </w:tr>
      <w:tr>
        <w:tc>
          <w:tcPr>
            <w:tcW w:type="dxa" w:w="5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в % к ВВП</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1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Удельный вес государственного потребления в структуре использования ВВП в этот период снизился с 20,1 % (2012 год) до 17,5 %, а доля частного потребления - с 95,8 % (2012 год) до 95,3 %. Большая доля частного потребления, в основном, связана с увеличением среднемесячной номинальной заработной платы, размера пенсии, расходов на социальную поддержку населения, а также поступлений объема трансфертов от деятельности трудовых мигрантов семьям (в 2013 году чистый приток денежных переводов физических лиц составил 1908,2 млн долл. США, что на 8,0 % превысило показатель 2012 года, а за 2014 год составил 1812,0 млн долл. США, снижение -  на 5,1 %).</w:t>
      </w:r>
    </w:p>
    <w:p>
      <w:pPr>
        <w:spacing w:after="120"/>
        <w:ind w:firstLine="709"/>
        <w:jc w:val="both"/>
      </w:pPr>
      <w:r>
        <w:rPr>
          <w:rFonts w:ascii="Arial" w:cs="Arial" w:eastAsia="Arial" w:hAnsi="Arial"/>
          <w:sz w:val="24"/>
          <w:szCs w:val="24"/>
        </w:rPr>
        <w:t xml:space="preserve">За 2014 год внешнеторговый оборот Кыргызской Республики, по предварительным данным НСК, составил 7612,3 млн долл. США и по сравнению с 2013 годом сократился на 4,8 %. Дефицит торгового баланса в 2014 году составил 3852,5 млн долл. США, и сократился по сравнению с 2013 годом на 3,2 %. Из-за опережающей динамики роста импорта над экспортом, отрицательное сальдо чистого экспорта товаров и услуг к ВВП остается высоким, которое составило в 2013 году (-) 49,5 %, а в 2014 году - (оценка) (-) 47,2 %.</w:t>
      </w:r>
    </w:p>
    <w:p>
      <w:pPr>
        <w:spacing w:after="120"/>
        <w:ind w:firstLine="709"/>
        <w:jc w:val="both"/>
      </w:pPr>
      <w:r>
        <w:rPr>
          <w:rFonts w:ascii="Arial" w:cs="Arial" w:eastAsia="Arial" w:hAnsi="Arial"/>
          <w:sz w:val="24"/>
          <w:szCs w:val="24"/>
        </w:rPr>
        <w:t xml:space="preserve">Главным событием 2014 года стало подписание 23 декабря 2014 года Договора о присоединении Кыргызской Республики к Договору о Евразийском экономическом союзе </w:t>
      </w:r>
      <w:r>
        <w:rPr>
          <w:rFonts w:ascii="Arial" w:cs="Arial" w:eastAsia="Arial" w:hAnsi="Arial"/>
          <w:sz w:val="24"/>
          <w:szCs w:val="24"/>
        </w:rPr>
        <w:t xml:space="preserve">от 29 мая 2014 года</w:t>
      </w:r>
      <w:r>
        <w:rPr>
          <w:rFonts w:ascii="Arial" w:cs="Arial" w:eastAsia="Arial" w:hAnsi="Arial"/>
          <w:sz w:val="24"/>
          <w:szCs w:val="24"/>
        </w:rPr>
        <w:t xml:space="preserve"> (далее - ЕАЭС). 1 января 2015 года на постсоветском пространстве начало работать крупнейшее интеграционное объединение - ЕАЭС, которое будет обеспечивать свободу движения товаров, услуг, капиталов и трудовых ресурсов между странами-участницами. Ожидается, что после завершения всех процедур Кыргызстан станет полноценным членом ЕАЭС в мае 2015 года. Для республики это новая ступень экономической интеграции. Перед страной открываются новые горизонты и возникают вызовы для отечественных сельскохозяйственных производителей, пищевых и перерабатывающих предприятий, бизнеса, предпосылки для повышения уровня деловой активности в экономике.</w:t>
      </w:r>
    </w:p>
    <w:p>
      <w:pPr>
        <w:spacing w:after="120"/>
        <w:ind w:firstLine="709"/>
        <w:jc w:val="both"/>
      </w:pPr>
      <w:r>
        <w:rPr>
          <w:rFonts w:ascii="Arial" w:cs="Arial" w:eastAsia="Arial" w:hAnsi="Arial"/>
          <w:b w:val="false"/>
          <w:bCs w:val="false"/>
          <w:sz w:val="24"/>
          <w:szCs w:val="24"/>
        </w:rPr>
        <w:t xml:space="preserve">В результате вышесказанного, п</w:t>
      </w:r>
      <w:r>
        <w:rPr>
          <w:rFonts w:ascii="Arial" w:cs="Arial" w:eastAsia="Arial" w:hAnsi="Arial"/>
          <w:b w:val="false"/>
          <w:bCs w:val="false"/>
          <w:sz w:val="24"/>
          <w:szCs w:val="24"/>
        </w:rPr>
        <w:t xml:space="preserve">роводимая согласованная экономическая политика в 2013-2014 годах позволила сохранить наметившуюся положительную динамику развития экономики, макроэкономическую и социальную стабильность в стране, несмотря на негативное влияние ситуации продолжающегося замедления мировой экономики, в том числе в странах основных - торговых партнерах: Российской Федерации, Республики Казахстан. </w:t>
      </w:r>
    </w:p>
    <w:p>
      <w:pPr>
        <w:spacing w:after="120"/>
        <w:ind w:firstLine="709"/>
        <w:jc w:val="both"/>
      </w:pPr>
      <w:r>
        <w:rPr>
          <w:rFonts w:ascii="Arial" w:cs="Arial" w:eastAsia="Arial" w:hAnsi="Arial"/>
          <w:b w:val="false"/>
          <w:bCs w:val="false"/>
          <w:sz w:val="24"/>
          <w:szCs w:val="24"/>
        </w:rPr>
        <w:t xml:space="preserve">В</w:t>
      </w:r>
      <w:r>
        <w:rPr>
          <w:rFonts w:ascii="Arial" w:cs="Arial" w:eastAsia="Arial" w:hAnsi="Arial"/>
          <w:b w:val="false"/>
          <w:bCs w:val="false"/>
          <w:sz w:val="24"/>
          <w:szCs w:val="24"/>
        </w:rPr>
        <w:t xml:space="preserve"> преддверии вступления Кыргызской Республики в ЕАЭС сложилась устойчивая экономическая и политическая стабильность после кризиса внутри страны в 2010 году, но экономика Кыргызской Республики остается уязвимой к воздействию внешних и внутренних потрясений.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Факторы и условия социально-экономического развития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Макроэкономическая ситуация в Кыргызстане все еще остается недостаточно устойчивой. Экономика Кыргызстана является самой открытой экономикой региона и характеризуется высокой зависимостью от производства золота, денежных переводов работников-мигрантов, транзитной торговли и внешней помощи. Эта зависимость вместе с тем обусловливает уязвимость экономики перед влиянием негативных внешних факторов: высокий уровень зависимости от конъюнктуры на мировых продовольственных и финансовых рынках, удаленность от основных международных товарных и финансовых рынков; наличие протекционистских тенденций </w:t>
      </w:r>
      <w:hyperlink w:history="1" r:id="rIdbw1xtbneappgh63hyvpwn">
        <w:r>
          <w:rPr>
            <w:rFonts w:ascii="Arial" w:cs="Arial" w:eastAsia="Arial" w:hAnsi="Arial"/>
            <w:color w:val="1D4ED8"/>
            <w:sz w:val="24"/>
            <w:szCs w:val="24"/>
            <w:u w:val="single"/>
          </w:rPr>
          <w:t xml:space="preserve">[u2]</w:t>
        </w:r>
      </w:hyperlink>
      <w:r>
        <w:rPr>
          <w:rFonts w:ascii="Arial" w:cs="Arial" w:eastAsia="Arial" w:hAnsi="Arial"/>
          <w:sz w:val="24"/>
          <w:szCs w:val="24"/>
        </w:rPr>
        <w:t xml:space="preserve">во внешнеэкономической деятельности со стороны соседних стран.</w:t>
      </w:r>
    </w:p>
    <w:p>
      <w:pPr>
        <w:spacing w:after="120"/>
        <w:ind w:firstLine="709"/>
        <w:jc w:val="both"/>
      </w:pPr>
      <w:r>
        <w:rPr>
          <w:rFonts w:ascii="Arial" w:cs="Arial" w:eastAsia="Arial" w:hAnsi="Arial"/>
          <w:sz w:val="24"/>
          <w:szCs w:val="24"/>
        </w:rPr>
        <w:t xml:space="preserve">Ожидаемое развитие экономики в 2015 году и настоящий Среднесрочный прогноз базируются на гипотезе влияния внешних и внутренних факторов, в том числе сохраняющейся геоэкономической ситуации в странах - основных торговых партнерах, динамике изменения внешнеэкономической деятельности, в условиях вхождения Кыргызской Республики в интеграционное объединение ЕАЭС.</w:t>
      </w:r>
    </w:p>
    <w:p>
      <w:pPr>
        <w:spacing w:after="120"/>
        <w:ind w:firstLine="709"/>
        <w:jc w:val="both"/>
      </w:pPr>
      <w:r>
        <w:rPr>
          <w:rFonts w:ascii="Arial" w:cs="Arial" w:eastAsia="Arial" w:hAnsi="Arial"/>
          <w:sz w:val="24"/>
          <w:szCs w:val="24"/>
        </w:rPr>
        <w:t xml:space="preserve">Среднесрочный прогноз предусматривает более активную политику государства, направленную на обеспечение устойчивого развития экономики и социальной стабильности и характеризует развитие экономики в условиях принятия дополнительных мер стимулирующего характера. </w:t>
      </w:r>
    </w:p>
    <w:p>
      <w:pPr>
        <w:spacing w:after="120"/>
        <w:ind w:firstLine="709"/>
        <w:jc w:val="both"/>
      </w:pPr>
      <w:r>
        <w:rPr>
          <w:rFonts w:ascii="Arial" w:cs="Arial" w:eastAsia="Arial" w:hAnsi="Arial"/>
          <w:sz w:val="24"/>
          <w:szCs w:val="24"/>
        </w:rPr>
        <w:t xml:space="preserve">Геоэкономическая ситуация в странах - основных торговых партнерах, возникшая в 2014 году, продолжает сохраняться и создает дополнительные сложности в функционировании экономик стран-членов ЕАЭС: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значительно снижаются цены на мировом сырьевом рынке: так, цена на нефть Brent снизилась на 44,1 % (со 107,7 долл/баррель до 60,2 долл/баррель);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продолжается обесценение курса валют за счет укрепления доллара США: с начала года, по состоянию на 24 марта 2015 года, рубль обесценился на 5,7 %, евро - на 13,8 %, белорусский рубль – на 23,9 % и т.д., таким образом, в среднем доллар США по отношению к другим валютам укрепился на 8,5 % (в 2014 году- на 25,0 %);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усилился отток капитала (н-р, в Российской Федерации в 2014 году составил 151,5 млрд долл. США и увеличился по сравнению с 2012 годом в 2,5 раза, на 2015 год прогнозируется отток капитала в размере 118,0 млрд долл. США (по данным Центрального банка Российской Федерации); в Кыргызской Республике – отток капитала вырос на 24,6 %</w:t>
      </w:r>
      <w:hyperlink w:history="1" r:id="rIdqjqhrroqgc7dgs1yhqgtn">
        <w:r>
          <w:rPr>
            <w:rFonts w:ascii="Arial" w:cs="Arial" w:eastAsia="Arial" w:hAnsi="Arial"/>
            <w:color w:val="1D4ED8"/>
            <w:sz w:val="24"/>
            <w:szCs w:val="24"/>
            <w:u w:val="single"/>
          </w:rPr>
          <w:t xml:space="preserve">[3]</w:t>
        </w:r>
      </w:hyperlink>
      <w:r>
        <w:rPr>
          <w:rFonts w:ascii="Arial" w:cs="Arial" w:eastAsia="Arial" w:hAnsi="Arial"/>
          <w:sz w:val="24"/>
          <w:szCs w:val="24"/>
        </w:rPr>
        <w:t xml:space="preserve"> и составил 421,5 млн долл. США).</w:t>
      </w:r>
    </w:p>
    <w:p>
      <w:pPr>
        <w:spacing w:after="120"/>
        <w:ind w:firstLine="709"/>
        <w:jc w:val="both"/>
      </w:pPr>
      <w:r>
        <w:rPr>
          <w:rFonts w:ascii="Arial" w:cs="Arial" w:eastAsia="Arial" w:hAnsi="Arial"/>
          <w:sz w:val="24"/>
          <w:szCs w:val="24"/>
        </w:rPr>
        <w:t xml:space="preserve">На фоне таких условий в мировой экономике сохраняется тенденция замедления экономического роста. Пересмотрены на 2015 год прогнозы развития мировой экономики в сторону снижения - до 3,5 % при ранее прогнозируемом 4,0 % росте, еврозоны - до 1,2 % по сравнению с ранним прогнозом в 1,5 %. Также на 2015 год были пересмотрены показатели уровня экономического роста в сторону снижения и в России с 3,1 % до (-) 3,0 %, по данным по данным Министерства экономического развития Российской Федерации от 16 февраля 2015 года, Казахстане - с 7,1 % до 1,5 %, по данным Министерства национальной экономики Республики Казахстан от 17 февраля 2015 года № 9, Белоруссии - с 3,1 % до 0,2 - 0,7 %, по данным Министерства экономики Республики Беларусь от 23 января 2015 года № 8, Армении - с 5,5 % до 0,4 – 2,0 %, по данным Центрального банка Армении по состоянию на 24 февраля 2015 года.</w:t>
      </w:r>
    </w:p>
    <w:p>
      <w:pPr>
        <w:spacing w:after="120"/>
        <w:ind w:firstLine="709"/>
        <w:jc w:val="right"/>
      </w:pPr>
      <w:r>
        <w:rPr>
          <w:rFonts w:ascii="Arial" w:cs="Arial" w:eastAsia="Arial" w:hAnsi="Arial"/>
          <w:sz w:val="24"/>
          <w:szCs w:val="24"/>
        </w:rPr>
        <w:t xml:space="preserve">Таблица 5</w:t>
      </w:r>
    </w:p>
    <w:p>
      <w:pPr>
        <w:spacing w:after="240" w:before="200"/>
        <w:ind w:firstLine="709"/>
        <w:jc w:val="center"/>
      </w:pPr>
      <w:r>
        <w:rPr>
          <w:rFonts w:ascii="Arial" w:cs="Arial" w:eastAsia="Arial" w:hAnsi="Arial"/>
          <w:b/>
          <w:bCs/>
          <w:sz w:val="32"/>
          <w:szCs w:val="32"/>
        </w:rPr>
        <w:t xml:space="preserve">Темпы роста мировой экономик и стран–членов ЕАЭС,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7"/>
        <w:gridCol w:w="834"/>
        <w:gridCol w:w="872"/>
        <w:gridCol w:w="945"/>
        <w:gridCol w:w="1209"/>
        <w:gridCol w:w="1209"/>
        <w:gridCol w:w="1138"/>
        <w:gridCol w:w="1245"/>
        <w:gridCol w:w="1240"/>
      </w:tblGrid>
      <w:tr>
        <w:tc>
          <w:tcPr>
            <w:tcW w:type="dxa" w:w="148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Страны</w:t>
            </w:r>
          </w:p>
        </w:tc>
        <w:tc>
          <w:tcPr>
            <w:tcW w:type="dxa" w:w="83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2012 год,</w:t>
            </w:r>
          </w:p>
          <w:p>
            <w:pPr>
              <w:jc w:val="center"/>
            </w:pPr>
            <w:r>
              <w:rPr>
                <w:rFonts w:ascii="Arial" w:cs="Arial" w:eastAsia="Arial" w:hAnsi="Arial"/>
                <w:b/>
                <w:bCs/>
                <w:sz w:val="24"/>
                <w:szCs w:val="24"/>
              </w:rPr>
              <w:t xml:space="preserve">факт</w:t>
            </w:r>
          </w:p>
        </w:tc>
        <w:tc>
          <w:tcPr>
            <w:tcW w:type="dxa" w:w="87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2013 год,</w:t>
            </w:r>
          </w:p>
          <w:p>
            <w:pPr>
              <w:jc w:val="center"/>
            </w:pPr>
            <w:r>
              <w:rPr>
                <w:rFonts w:ascii="Arial" w:cs="Arial" w:eastAsia="Arial" w:hAnsi="Arial"/>
                <w:b/>
                <w:bCs/>
                <w:sz w:val="24"/>
                <w:szCs w:val="24"/>
              </w:rPr>
              <w:t xml:space="preserve">факт</w:t>
            </w:r>
          </w:p>
        </w:tc>
        <w:tc>
          <w:tcPr>
            <w:tcW w:type="dxa" w:w="94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2014 год, предв.</w:t>
            </w:r>
          </w:p>
          <w:p>
            <w:pPr>
              <w:jc w:val="center"/>
            </w:pPr>
            <w:r>
              <w:rPr>
                <w:rFonts w:ascii="Arial" w:cs="Arial" w:eastAsia="Arial" w:hAnsi="Arial"/>
                <w:b/>
                <w:bCs/>
                <w:sz w:val="24"/>
                <w:szCs w:val="24"/>
              </w:rPr>
              <w:t xml:space="preserve">факт</w:t>
            </w:r>
          </w:p>
        </w:tc>
        <w:tc>
          <w:tcPr>
            <w:tcW w:type="dxa" w:w="24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p>
            <w:pPr>
              <w:jc w:val="center"/>
            </w:pPr>
            <w:r>
              <w:rPr>
                <w:rFonts w:ascii="Arial" w:cs="Arial" w:eastAsia="Arial" w:hAnsi="Arial"/>
                <w:b/>
                <w:bCs/>
                <w:sz w:val="24"/>
                <w:szCs w:val="24"/>
              </w:rPr>
              <w:t xml:space="preserve">прогноз</w:t>
            </w:r>
          </w:p>
        </w:tc>
        <w:tc>
          <w:tcPr>
            <w:tcW w:type="dxa" w:w="113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2016 год,</w:t>
            </w:r>
          </w:p>
          <w:p>
            <w:pPr>
              <w:jc w:val="center"/>
            </w:pPr>
            <w:r>
              <w:rPr>
                <w:rFonts w:ascii="Arial" w:cs="Arial" w:eastAsia="Arial" w:hAnsi="Arial"/>
                <w:b/>
                <w:bCs/>
                <w:sz w:val="24"/>
                <w:szCs w:val="24"/>
              </w:rPr>
              <w:t xml:space="preserve">прогноз</w:t>
            </w:r>
          </w:p>
        </w:tc>
        <w:tc>
          <w:tcPr>
            <w:tcW w:type="dxa" w:w="124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2017 год,</w:t>
            </w:r>
          </w:p>
          <w:p>
            <w:pPr>
              <w:jc w:val="center"/>
            </w:pPr>
            <w:r>
              <w:rPr>
                <w:rFonts w:ascii="Arial" w:cs="Arial" w:eastAsia="Arial" w:hAnsi="Arial"/>
                <w:b/>
                <w:bCs/>
                <w:sz w:val="24"/>
                <w:szCs w:val="24"/>
              </w:rPr>
              <w:t xml:space="preserve">прогноз</w:t>
            </w:r>
          </w:p>
        </w:tc>
        <w:tc>
          <w:tcPr>
            <w:tcW w:type="dxa" w:w="1240"/>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2018 год,</w:t>
            </w:r>
          </w:p>
          <w:p>
            <w:pPr>
              <w:jc w:val="center"/>
            </w:pPr>
            <w:r>
              <w:rPr>
                <w:rFonts w:ascii="Arial" w:cs="Arial" w:eastAsia="Arial" w:hAnsi="Arial"/>
                <w:b/>
                <w:bCs/>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 в конце 2014 года</w:t>
            </w:r>
          </w:p>
        </w:tc>
        <w:tc>
          <w:tcPr>
            <w:tcW w:type="dxa" w:w="120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 в январе-феврале 2015 года </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2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13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Белоруссия</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0,2-0,7</w:t>
            </w:r>
          </w:p>
        </w:tc>
        <w:tc>
          <w:tcPr>
            <w:tcW w:type="dxa" w:w="113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Динамика мировой экономики за последние три года стабилизировалась на уровне 3,3 - 3,4 %, что заметно ниже среднегодового темпа последнего десятилетнего периода, когда даже с учетом кризисных 2008 – 2009 годов рост был выше 4.0 %. В 2015 году, несмотря на заметное снижение прогнозов, все же ожидается ускорение роста с 3,3 % в 2014 году до 3,5 % в 2015 году. </w:t>
      </w:r>
    </w:p>
    <w:p>
      <w:pPr>
        <w:spacing w:after="120"/>
        <w:ind w:firstLine="709"/>
        <w:jc w:val="both"/>
      </w:pPr>
      <w:r>
        <w:rPr>
          <w:rFonts w:ascii="Arial" w:cs="Arial" w:eastAsia="Arial" w:hAnsi="Arial"/>
          <w:sz w:val="24"/>
          <w:szCs w:val="24"/>
        </w:rPr>
        <w:t xml:space="preserve">Перспективы европейской экономики в 2015 году будут определяться трендом выхода из затяжной рецессии: после спада на 0,7 % и на 0,5 % в 2012 и 2013 годах в 2014 году рост составил 0,8 %. Но после затяжной рецессии уровень безработицы продолжит удерживаться на близком к рекордному уровню, превышающем 11,0 %, предопределяя минорную перспективу динамики внутреннего спроса и слабую инвестиционную активность. Широкое предложение ликвидности со стороны монетарных властей останется недостаточно эффективным для снятия угрозы дефляционного давления, несмотря на снижение базовой процентной ставки с 0,25 до 0,15 и введение отрицательной ставки по депозитам для коммерческих банков. </w:t>
      </w:r>
    </w:p>
    <w:p>
      <w:pPr>
        <w:spacing w:after="120"/>
        <w:ind w:firstLine="709"/>
        <w:jc w:val="both"/>
      </w:pPr>
      <w:r>
        <w:rPr>
          <w:rFonts w:ascii="Arial" w:cs="Arial" w:eastAsia="Arial" w:hAnsi="Arial"/>
          <w:sz w:val="24"/>
          <w:szCs w:val="24"/>
        </w:rPr>
        <w:t xml:space="preserve">В 2015 году ожидается ускорение роста европейской экономики до 1,1 %. Факторами роста будут являться укрепление устойчивости рефинансирования долговой нагрузки, достигнутая нормализация бюджетов и оздоровление балансов, что даст возможность реализовать нейтральную налогово-бюджетную политику. Рекордные масштабы монетарного стимулирования внутреннего спроса и существенное снижение цен на нефть помогут стимулировать потребление домашних хозяйств, а снижение курса евро создаст возможность роста за счет внешнего спроса.</w:t>
      </w:r>
    </w:p>
    <w:p>
      <w:pPr>
        <w:spacing w:after="120"/>
        <w:ind w:firstLine="709"/>
        <w:jc w:val="both"/>
      </w:pPr>
      <w:r>
        <w:rPr>
          <w:rFonts w:ascii="Arial" w:cs="Arial" w:eastAsia="Arial" w:hAnsi="Arial"/>
          <w:sz w:val="24"/>
          <w:szCs w:val="24"/>
        </w:rPr>
        <w:t xml:space="preserve">Развивающиеся страны и страны с переходной экономикой после восстановительного роста на 7,5 % в 2010 году демонстрируют устойчивое замедление экономического роста. В 2014 году рост этой группы стран составил, по предварительным оценкам, 4,4 %. В 2015 году развивающиеся страны, особенно зависимые от иностранного капитала и обладающие большими дефицитами счета текущих операций и неустойчивыми балансами, сохранят риски значительного торможения. В 2015 году экономическая динамика развивающихся стран продолжит замедляться до 4,3 % под воздействием ослабления роста в Китае, снижения темпов кредитной экспансии и инвестиций, рисков значительного оттока капитала, необходимости реализации мер по повышению устойчивости балансов. </w:t>
      </w:r>
    </w:p>
    <w:p>
      <w:pPr>
        <w:spacing w:after="120"/>
        <w:ind w:firstLine="709"/>
        <w:jc w:val="both"/>
      </w:pPr>
      <w:r>
        <w:rPr>
          <w:rFonts w:ascii="Arial" w:cs="Arial" w:eastAsia="Arial" w:hAnsi="Arial"/>
          <w:sz w:val="24"/>
          <w:szCs w:val="24"/>
        </w:rPr>
        <w:t xml:space="preserve">Однако ряд крупных стран, богатых трудовыми ресурсами, выиграют от снижения цен на нефть. Уменьшение разрыва между потенциальным и фактическим ростом за счет реализации преимуществ факторов производства возможно в Индии, где в 2015 году ожидается ускорение экономического роста до 6,4 % (против 5,6 % в 2014 году) и до 7,0 % в 2016–2017 годах. В Бразилии, Индонезии, Турции и Южной Африке падение цен на нефть также будет влиять на снижение инфляции и сокращение дефицита счета текущих операций, что уменьшит уязвимость этих стран, вызванную возможным резким изменением потоков капитала, и сократит риски для устойчивого роста экономик этих стран.</w:t>
      </w:r>
    </w:p>
    <w:p>
      <w:pPr>
        <w:spacing w:after="120"/>
        <w:ind w:firstLine="709"/>
        <w:jc w:val="both"/>
      </w:pPr>
      <w:r>
        <w:rPr>
          <w:rFonts w:ascii="Arial" w:cs="Arial" w:eastAsia="Arial" w:hAnsi="Arial"/>
          <w:sz w:val="24"/>
          <w:szCs w:val="24"/>
        </w:rPr>
        <w:t xml:space="preserve">В Китае будет продолжаться плавное замедление экономики при сохранении платежеспособности ведущих китайских банков и заемщиков. Темпы роста ВВП Китая в 2015 году удержатся на сравнительно высоком уровне - 6,8 % под влиянием мер стимулирования внутреннего спроса и, прежде всего, роста доходов и потребления домашних хозяйств. Однако стимулирование роста будет ограничено задачами по снижению уязвимости, вызванной чрезмерным ростом кредита, ухудшением балансов ряда крупных банков и провинций, снижением эффективности инвестиций.</w:t>
      </w:r>
    </w:p>
    <w:p>
      <w:pPr>
        <w:spacing w:after="120"/>
        <w:ind w:firstLine="709"/>
        <w:jc w:val="both"/>
      </w:pPr>
      <w:r>
        <w:rPr>
          <w:rFonts w:ascii="Arial" w:cs="Arial" w:eastAsia="Arial" w:hAnsi="Arial"/>
          <w:sz w:val="24"/>
          <w:szCs w:val="24"/>
        </w:rPr>
        <w:t xml:space="preserve">Вступление Кыргызской Республики в ЕАЭС совпало именно с периодом, когда эти продолжающиеся неблагоприятные условия для развития экономик и масштабные движения на валютном рынке станут отправной точкой для 2015 года, которая может привести к дальнейшему снижению темпов экономического роста стран - членов ЕАЭС, что в свою очередь окажет влияние и на экономику Кыргызской Республики.</w:t>
      </w:r>
    </w:p>
    <w:p>
      <w:pPr>
        <w:spacing w:after="120"/>
        <w:ind w:firstLine="709"/>
        <w:jc w:val="both"/>
      </w:pPr>
      <w:r>
        <w:rPr>
          <w:rFonts w:ascii="Arial" w:cs="Arial" w:eastAsia="Arial" w:hAnsi="Arial"/>
          <w:sz w:val="24"/>
          <w:szCs w:val="24"/>
        </w:rPr>
        <w:t xml:space="preserve">Ожидается, что Кыргызстан станет членом ЕАЭС в мае 2015 года, после завершения всех процедур, влияние данного фактора взято в расчет лагом в 1,5 года, где предполагается, что пик данного влияния придется на 2016 год, с угасанием в последующие годы.</w:t>
      </w:r>
    </w:p>
    <w:p>
      <w:pPr>
        <w:spacing w:after="120"/>
        <w:ind w:firstLine="709"/>
        <w:jc w:val="both"/>
      </w:pPr>
      <w:r>
        <w:rPr>
          <w:rFonts w:ascii="Arial" w:cs="Arial" w:eastAsia="Arial" w:hAnsi="Arial"/>
          <w:sz w:val="24"/>
          <w:szCs w:val="24"/>
        </w:rPr>
        <w:t xml:space="preserve">Основные преимущества вхождения: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рост объемов инвестиций, для инвесторов открывается рынок без пошлин и барьеров;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развитие приграничной торговли, сдерживаемой ранее наличием таможенного контроля, которая будет способствовать созданию новых рабочих мест, увеличению денежных доходов населения, улучшению транспортной, жилищной, социальной инфраструктуры на местах;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приведение правил таможенного администрирования в соответствие с нормами Таможенного кодекса Таможенного союза с применением таможенного оформления по стоимости товаров, а не по его весу, может дать существенное повышение поступлений;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стимулирование производственного сектора – расширится рынок швейного производства и отрасли пищепереработки; появится интерес у инвесторов открыть производства на территории Кыргызской Республики в связи с расширением рынка сбыта (Республика Казахстна – Российская Федерация – Республика Армения – Республика Беларусь);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свободное передвижение труда и капитала.</w:t>
      </w:r>
    </w:p>
    <w:p>
      <w:pPr>
        <w:spacing w:after="120"/>
        <w:ind w:firstLine="709"/>
        <w:jc w:val="both"/>
      </w:pPr>
      <w:r>
        <w:rPr>
          <w:rFonts w:ascii="Arial" w:cs="Arial" w:eastAsia="Arial" w:hAnsi="Arial"/>
          <w:sz w:val="24"/>
          <w:szCs w:val="24"/>
        </w:rPr>
        <w:t xml:space="preserve">Основные риски: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сужение потребительского спроса за счет снижения темпов экономического роста в странах - основных торговых партнерах из-за сложившейся геоэкономической ситуации;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рост издержек производства и сокращение конкурентоспособности для секторов экономики с высоким удельным весом импортируемых материалов из-за повышения пошлин, слабой инфраструктуры, качества и выполнения новых требований технических регламентов Таможенного союза;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сокращение денежных переводов, что в свою очередь приведет к снижению объемов валовой продукции строительства, услуг;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торговли за счет изменения условий (принятие единого таможенного тарифа (без изъятий), отмена упрощенного режима таможенного оформления, принятие технических регламентов ЕАЭС, более строгих правил подтверждения соответствия;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сохранение или медленное преодоление барьеров в приграничной и внешней торговле; рост конкуренции на внутреннем рынке со стороны иностранных производителей;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рост издержек для экспортеров, а в ряде случаев - невозможность осуществления экспорта из-за того, что принятая в Таможенном союзе система технического регулирования предъявляет более жесткие требования к производителям и продукции (затяжной процесс проведения модернизации испытательных лабораторий, приведение в соответствие с требованиями законодательства Таможенного союза санитарно-карантинного, ветеринарного и фитосанитарного контроля в пунктах пропуска и осуществление других мер по улучшению системы технического регулирования);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прекращение поставок некоторых товаров в Кыргызстан из-за роста таможенных пошлин, снижение товарооборота со странами, не входящими в ЕАЭС;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существенное сокращение реэкспорта китайских товаров и, соответственно, уменьшение занятости в оптовой торговле;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отток некоторых сельскохозяйственных продуктов кыргызского производства в страны-члены ЕАЭС, и соответственно, повышение уровня цен на эти продукты;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выравнивание цен на товары и услуги с ценами стран – членов ЕАЭС и рост цен внутри страны, соответственно падение доходов населения, возможна социальная напряженность в стране;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отток с отечественного рынка квалифицированной рабочей силы;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давление на бюджет государства за счет снижения объемов производства в секторах экономики, снижения поступлений от крупных оптовых рынков «Дордой», «Карасуу» и «Мадина», от предпринимателей, занятых в челночной торговле;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вопрос компенсации странам-членам ВТО остается еще открытым.</w:t>
      </w:r>
    </w:p>
    <w:p>
      <w:pPr>
        <w:spacing w:after="120"/>
        <w:ind w:firstLine="709"/>
        <w:jc w:val="both"/>
      </w:pPr>
      <w:r>
        <w:rPr>
          <w:rFonts w:ascii="Arial" w:cs="Arial" w:eastAsia="Arial" w:hAnsi="Arial"/>
          <w:sz w:val="24"/>
          <w:szCs w:val="24"/>
        </w:rPr>
        <w:t xml:space="preserve">Таким образом, на фоне вышеуказанных событий в основу оценок заложены факторы развития страны на 2015 год и среднесрочный период, которые будут происходить в условиях: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замедления роста экономик стран - основных торговых партнеров Кыргызской Республики (сложная геополитическая и геоэкономическая ситуация в мире, пересмотр основных макроэкономических показателей в сторону снижения);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изменения условий внешнеэкономической деятельности в связи с вступлением в ЕАЭС;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волатильности обменного курса доллара и рубля по отношению к сому,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оттока капитала;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увеличения долгосрочных займов для покрытия дефицита, увеличения государственного долга;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влияния природно-климатических условий на развитие сельского хозяйства и энергетику страны;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восходящего тренда уровня инфляции и т.д.</w:t>
      </w:r>
    </w:p>
    <w:p>
      <w:pPr>
        <w:spacing w:after="120"/>
        <w:ind w:firstLine="567"/>
        <w:jc w:val="both"/>
      </w:pPr>
      <w:r>
        <w:rPr>
          <w:rFonts w:ascii="Arial" w:cs="Arial" w:eastAsia="Arial" w:hAnsi="Arial"/>
          <w:sz w:val="24"/>
          <w:szCs w:val="24"/>
        </w:rPr>
        <w:t xml:space="preserve">Все эти предпосылки будут оказывать непосредственное влияние на макроэкономические показатели на текущий и предстоящие годы.</w:t>
      </w:r>
    </w:p>
    <w:p>
      <w:pPr>
        <w:spacing w:after="120"/>
        <w:ind w:firstLine="567"/>
        <w:jc w:val="both"/>
      </w:pPr>
      <w:r>
        <w:rPr>
          <w:rFonts w:ascii="Arial" w:cs="Arial" w:eastAsia="Arial" w:hAnsi="Arial"/>
          <w:sz w:val="24"/>
          <w:szCs w:val="24"/>
        </w:rPr>
        <w:t xml:space="preserve">Поэтому развитие вышеуказанных ситуаций может быть сопряжено со следующими макроэкономическими рисками: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сокращение внешнего спроса (принятие Россией и Казахстаном решения по развитию импортозамещающих производств) и ухудшение условий торговли со странами - основными торговыми партнерами (уменьшение спроса на кыргызские товары и услуги приведет к спаду объемов производства в экспортоориентированных отраслях экономики, что может повлечь ослабление курса национальной валюты вследствие уменьшения притока иностранной валюты);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рост стоимости импорта на основные продовольственные товары и энергоресурсы на фоне нынешней сложившейся ситуации на валютном рынке обусловит дополнительное инфляционное давление на экономику;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рост уровня безработицы вследствие возврата части мигрантов из России и Казахстана, а также снижение доходов населения из-за уменьшения притока валюты по денежным переводам, возможно, усилит социальную напряженность в республике;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ухудшение состояния торгового баланса страны, обусловленное опережающим снижением экспортных поступлений по сравнению с импортными поставками;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поступлений частных трансфертов приведет к сужению потребительского спроса и сокращению сбережений населения, тем самым снижению объемов в секторе услуг, а также в жилищном строительстве (рост экономической активности во многом обусловлен ростом внутреннего спроса (сумма расходов на конечное потребление и валовое накопление), обеспеченного притоком денежных переводов трудовых мигрантов. Снижение объема поступлений денежных переводов повышает риск неустойчивости и волатильности экономического роста, обусловленного влиянием внешних факторов (в первую очередь – экономическое развитие стран-реципиентов трудовой миграции);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отрасли услуг, задействованные в реэкспорте замедлятся (торговля) и общее замедление экономической активности в данной сфере приведет к снижению спроса на транспортные услуги;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замедление роста экономики вследствие снижения деловой активности и дефицит источников финансирования экономического роста (экономический рост в республике зависит как от внешних, так и от внутренних источников финансирования. Осложнение ситуации на мировых финансовых рынках может создать препятствия для поступления внешних заимствований либо привести к удорожанию стоимости привлекаемых ресурсов);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увеличение дефицита государственного бюджета вследствие сокращения потенциальных кредитных и грантовых поступлений при сохранении прежнего уровня социальных расходов.</w:t>
      </w:r>
    </w:p>
    <w:p>
      <w:pPr>
        <w:spacing w:after="120"/>
        <w:ind w:firstLine="709"/>
        <w:jc w:val="both"/>
      </w:pPr>
      <w:r>
        <w:rPr>
          <w:rFonts w:ascii="Arial" w:cs="Arial" w:eastAsia="Arial" w:hAnsi="Arial"/>
          <w:sz w:val="24"/>
          <w:szCs w:val="24"/>
        </w:rPr>
        <w:t xml:space="preserve">В этих условиях главной целью экономической политики на среднесрочный период будут сохранение макроэкономической стабильности и достижение положительных тенденций развития.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Макроэкономические показатели, ожидаемые в 2015 году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Главными целями экономической политики в 2015 году будут сохранение макроэкономической стабильности и достижение положительной динамики экономического роста.</w:t>
      </w:r>
    </w:p>
    <w:p>
      <w:pPr>
        <w:spacing w:after="120"/>
        <w:ind w:firstLine="567"/>
        <w:jc w:val="both"/>
      </w:pPr>
      <w:r>
        <w:rPr>
          <w:rFonts w:ascii="Arial" w:cs="Arial" w:eastAsia="Arial" w:hAnsi="Arial"/>
          <w:sz w:val="24"/>
          <w:szCs w:val="24"/>
        </w:rPr>
        <w:t xml:space="preserve">Основными направлениями экономической политики в 2015 году станут: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базовых условий для сохранения положительных тенденций экономического роста;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поддержание макроэкономической стабильности посредством удержания дефицита государственного бюджета на уровне, обеспечивающем финансовую устойчивость;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сохранение макроэкономической стабильности посредством достижения и поддержания стабильности цен в результате проведения согласованной экономической политики Правительства и Национального банка;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активное продвижение мероприятий для продолжения интеграционных процессов в рамках ЕАЭС;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 эффективной системы государственного управления;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качества социальных услуг посредством принятия конкретных мер и осуществления мероприятий, направленных на жизнеобеспечение населения.</w:t>
      </w:r>
    </w:p>
    <w:p>
      <w:pPr>
        <w:spacing w:after="120"/>
        <w:ind w:firstLine="709"/>
        <w:jc w:val="both"/>
      </w:pPr>
      <w:r>
        <w:rPr>
          <w:rFonts w:ascii="Arial" w:cs="Arial" w:eastAsia="Arial" w:hAnsi="Arial"/>
          <w:sz w:val="24"/>
          <w:szCs w:val="24"/>
        </w:rPr>
        <w:t xml:space="preserve">В 2015 году экономическое развитие страны будет складываться на основе ориентиров, которые заложены в НСУР, и в условиях вхождения Кыргызской Республики в ЕАЭС.</w:t>
      </w:r>
    </w:p>
    <w:p>
      <w:pPr>
        <w:spacing w:after="120"/>
        <w:ind w:firstLine="709"/>
        <w:jc w:val="both"/>
      </w:pPr>
      <w:r>
        <w:rPr>
          <w:rFonts w:ascii="Arial" w:cs="Arial" w:eastAsia="Arial" w:hAnsi="Arial"/>
          <w:sz w:val="24"/>
          <w:szCs w:val="24"/>
        </w:rPr>
        <w:t xml:space="preserve">Для обеспечения устойчивого экономического роста Правительство сконцентрируется на продолжении реализации 77 крупных инвестиционных проектов; в целях усиления экспортного потенциала будет начата масштабная модернизация сельского хозяйства, направленная на повышение конкурентоспособности аграрного сектора и развитие пищевой переработки. Будет запущен Проект «Финансирование экспортоориентированного производства» для реализации </w:t>
      </w:r>
      <w:r>
        <w:rPr>
          <w:rFonts w:ascii="Arial" w:cs="Arial" w:eastAsia="Arial" w:hAnsi="Arial"/>
          <w:sz w:val="24"/>
          <w:szCs w:val="24"/>
        </w:rPr>
        <w:t xml:space="preserve">Плана Правительства по развитию экспорта Кыргызской Республики на 2015-2017 годы</w:t>
      </w:r>
      <w:r>
        <w:rPr>
          <w:rFonts w:ascii="Arial" w:cs="Arial" w:eastAsia="Arial" w:hAnsi="Arial"/>
          <w:sz w:val="24"/>
          <w:szCs w:val="24"/>
        </w:rPr>
        <w:t xml:space="preserve">, утвержденного постановлением Правительства Кыргызской Республики от 31 марта 2015 года №174.</w:t>
      </w:r>
    </w:p>
    <w:p>
      <w:pPr>
        <w:spacing w:after="120"/>
        <w:ind w:firstLine="709"/>
        <w:jc w:val="both"/>
      </w:pPr>
      <w:r>
        <w:rPr>
          <w:rFonts w:ascii="Arial" w:cs="Arial" w:eastAsia="Arial" w:hAnsi="Arial"/>
          <w:sz w:val="24"/>
          <w:szCs w:val="24"/>
        </w:rPr>
        <w:t xml:space="preserve">С целью обеспечения устойчивого экономического роста, основанного на рациональном использовании природных ресурсов страны, Правительством в 2015-2017 годы будут реализовываться программы по развитию горнодобывающей промышленности Кыргызской Республики, по энергосбережению и планированию политики по энергоэффективности в Кыргызской Республике на 2015-2017 годы», в рамках которых начнется формирование принципиально новой системы управления природными ресурсами, снижение энергоемкости и повышение энергоэффективности экономики, развитие возобновляемых источников энергии и снижение уровня загрязнения окружающей среды.</w:t>
      </w:r>
    </w:p>
    <w:p>
      <w:pPr>
        <w:spacing w:after="120"/>
        <w:ind w:firstLine="708"/>
        <w:jc w:val="both"/>
      </w:pPr>
      <w:r>
        <w:rPr>
          <w:rFonts w:ascii="Arial" w:cs="Arial" w:eastAsia="Arial" w:hAnsi="Arial"/>
          <w:sz w:val="24"/>
          <w:szCs w:val="24"/>
        </w:rPr>
        <w:t xml:space="preserve">В целях создания благоприятных условий для развития предпринимательства действия Правительства будут направлены на своевременное и качественное выполнение мероприятий, заложенных в </w:t>
      </w:r>
      <w:r>
        <w:rPr>
          <w:rFonts w:ascii="Arial" w:cs="Arial" w:eastAsia="Arial" w:hAnsi="Arial"/>
          <w:sz w:val="24"/>
          <w:szCs w:val="24"/>
        </w:rPr>
        <w:t xml:space="preserve">Программе по переходу Кыргызской Республики к устойчивому развитию на 2013-2017 годы, утвержденной постановлением Жогорку Кенеша Кыргызской Республики от 18 декабря 2013 года №</w:t>
      </w:r>
      <w:r>
        <w:rPr>
          <w:rFonts w:ascii="Arial" w:cs="Arial" w:eastAsia="Arial" w:hAnsi="Arial"/>
          <w:sz w:val="24"/>
          <w:szCs w:val="24"/>
        </w:rPr>
        <w:t xml:space="preserve"> </w:t>
      </w:r>
      <w:r>
        <w:rPr>
          <w:rFonts w:ascii="Arial" w:cs="Arial" w:eastAsia="Arial" w:hAnsi="Arial"/>
          <w:sz w:val="24"/>
          <w:szCs w:val="24"/>
        </w:rPr>
        <w:t xml:space="preserve">3694-V</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основу формирования ожидаемых показателей 2015 года заложены, кроме основных вышеприведенных, такие предпосылки, как:</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эффективная организация и проведение весенне-осенних полевых работ в сельском хозяйстве и эффект от направления льготных кредитов в эту отрасль;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ожидаемая стабильная работа на предприятиях по разработке месторождения Кумтор, по объему производства на 2015 год в расчет принят уровень верхнего предела запланированных объемов ЗАО «Кумтор Голд Компани» (517,6 тыс. тр. унций (16,1 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частичный запуск производства на месторождениях Бозымчак и Талды - Булак Левобережный в 2015 году;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наращивание объемов производства на НПЗ «Джунда»;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стабильная работа ОАО «Интергласс» (производство уровня 2014 года);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объемы производства электроэнергии снижаются, при этом потребность населения и экономики в энергоресурсах покрывается за счет импорта электроэнергии из соседних республик и увеличения оказания услуг по распределению газообразного топлива через системы газоснабжения в связи с вхождением на рынок крупной российской госкомпании ОАО «Газпром»;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объем текстильного и швейного производства имеет нисходящий тренд;</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реализация крупных инвестиционных проектов и мер заложенных, в НСУР и Программе по переходу Кыргызской Республики к устойчивому развитию на 2013-2017 годы;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запуск программы Правительства «Финансирование экспортоориентированных производств»;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сужение потребительского спроса (за счет замедления темпов прироста денежных переводов и сокращения сбережений населения);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сокращение объема импорта/реэкспорта, замедление сферы услуг, задействованных в реэкспорте.</w:t>
      </w:r>
    </w:p>
    <w:p>
      <w:pPr>
        <w:spacing w:after="120"/>
        <w:ind w:firstLine="851"/>
        <w:jc w:val="both"/>
      </w:pPr>
      <w:r>
        <w:rPr>
          <w:rFonts w:ascii="Arial" w:cs="Arial" w:eastAsia="Arial" w:hAnsi="Arial"/>
          <w:sz w:val="24"/>
          <w:szCs w:val="24"/>
        </w:rPr>
        <w:t xml:space="preserve">Таким образом, на основе учета предпосылок, экономический рост в 2015 году ожидается на уровне 2,0 %, а без учета предприятий по разработке месторождения Кумтор - на уровне 2,9 %. Номинальный объем ВВП в 2015 году ожидается в сумме 438,6 млрд сомов.</w:t>
      </w:r>
    </w:p>
    <w:p>
      <w:pPr>
        <w:spacing w:after="120"/>
        <w:ind w:firstLine="709"/>
        <w:jc w:val="both"/>
      </w:pPr>
      <w:r>
        <w:rPr>
          <w:rFonts w:ascii="Arial" w:cs="Arial" w:eastAsia="Arial" w:hAnsi="Arial"/>
          <w:sz w:val="24"/>
          <w:szCs w:val="24"/>
        </w:rPr>
        <w:t xml:space="preserve">Основные ожидаемые социально-экономические показатели в 2015 году сложатся следующим образом:</w:t>
      </w:r>
    </w:p>
    <w:p>
      <w:pPr>
        <w:spacing w:after="120"/>
        <w:jc w:val="right"/>
      </w:pPr>
      <w:r>
        <w:rPr>
          <w:rFonts w:ascii="Arial" w:cs="Arial" w:eastAsia="Arial" w:hAnsi="Arial"/>
          <w:sz w:val="24"/>
          <w:szCs w:val="24"/>
        </w:rPr>
        <w:t xml:space="preserve">Таблица 6</w:t>
      </w:r>
    </w:p>
    <w:p>
      <w:pPr>
        <w:spacing w:after="240" w:before="200"/>
        <w:jc w:val="center"/>
      </w:pPr>
      <w:r>
        <w:rPr>
          <w:rFonts w:ascii="Arial" w:cs="Arial" w:eastAsia="Arial" w:hAnsi="Arial"/>
          <w:b/>
          <w:bCs/>
          <w:sz w:val="32"/>
          <w:szCs w:val="32"/>
        </w:rPr>
        <w:t xml:space="preserve">Структура и темпы роста по секторам, формирующим ВВП</w:t>
      </w:r>
      <w:hyperlink w:history="1" r:id="rIdosagfeknd9lsutb0r7brm">
        <w:r>
          <w:rPr>
            <w:rFonts w:ascii="Arial" w:cs="Arial" w:eastAsia="Arial" w:hAnsi="Arial"/>
            <w:b/>
            <w:bCs/>
            <w:color w:val="1D4ED8"/>
            <w:sz w:val="32"/>
            <w:szCs w:val="32"/>
            <w:u w:val="single"/>
          </w:rPr>
          <w:t xml:space="preserve">[4]</w:t>
        </w:r>
      </w:hyperlink>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97"/>
        <w:gridCol w:w="1102"/>
        <w:gridCol w:w="1102"/>
        <w:gridCol w:w="1102"/>
        <w:gridCol w:w="1119"/>
        <w:gridCol w:w="1119"/>
        <w:gridCol w:w="1119"/>
        <w:gridCol w:w="1119"/>
      </w:tblGrid>
      <w:tr>
        <w:tc>
          <w:tcPr>
            <w:tcW w:type="dxa" w:w="2397"/>
            <w:vMerge w:val="restart"/>
            <w:tcBorders>
              <w:top w:val="single" w:color="CBBF9E" w:sz="4"/>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306"/>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2014 год, предв.факт</w:t>
            </w:r>
          </w:p>
        </w:tc>
        <w:tc>
          <w:tcPr>
            <w:tcW w:type="dxa" w:w="4476"/>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2015 год, ожид.</w:t>
            </w:r>
          </w:p>
        </w:tc>
      </w:tr>
      <w:tr>
        <w:tc>
          <w:tcPr>
            <w:vMerge w:val="continue"/>
            <w:tcBorders>
              <w:top w:val="single" w:color="CBBF9E" w:sz="4"/>
              <w:left w:val="single" w:color="CBBF9E" w:sz="4"/>
              <w:bottom w:val="single" w:color="CBBF9E" w:sz="4"/>
              <w:right w:val="single" w:color="CBBF9E" w:sz="4"/>
            </w:tcBorders>
          </w:tcP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млн сомов</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Темп роста, %</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 % </w:t>
            </w:r>
          </w:p>
          <w:p>
            <w:pPr>
              <w:jc w:val="center"/>
            </w:pPr>
            <w:r>
              <w:rPr>
                <w:rFonts w:ascii="Arial" w:cs="Arial" w:eastAsia="Arial" w:hAnsi="Arial"/>
                <w:b/>
                <w:bCs/>
                <w:sz w:val="24"/>
                <w:szCs w:val="24"/>
              </w:rPr>
              <w:t xml:space="preserve">к ВВП</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млн сомов</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Темп роста, %</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 % </w:t>
            </w:r>
          </w:p>
          <w:p>
            <w:pPr>
              <w:jc w:val="center"/>
            </w:pPr>
            <w:r>
              <w:rPr>
                <w:rFonts w:ascii="Arial" w:cs="Arial" w:eastAsia="Arial" w:hAnsi="Arial"/>
                <w:b/>
                <w:bCs/>
                <w:sz w:val="24"/>
                <w:szCs w:val="24"/>
              </w:rPr>
              <w:t xml:space="preserve">к ВВП</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Доля вклада в рост ВВП, п.п.</w:t>
            </w:r>
          </w:p>
        </w:tc>
      </w:tr>
      <w:tr>
        <w:tc>
          <w:tcPr>
            <w:tcW w:type="dxa" w:w="2397"/>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ВВП</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397277,1</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103,6</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100,0</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438579,8</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102,0</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100,0</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r>
      <w:tr>
        <w:tc>
          <w:tcPr>
            <w:tcW w:type="dxa" w:w="239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Сельское хозяйство</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58888,7</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99,4</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64786,9</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0,22</w:t>
            </w:r>
          </w:p>
        </w:tc>
      </w:tr>
      <w:tr>
        <w:tc>
          <w:tcPr>
            <w:tcW w:type="dxa" w:w="239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61741,3</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15,6</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61610,7</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98,4</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-0,25</w:t>
            </w:r>
          </w:p>
        </w:tc>
      </w:tr>
      <w:tr>
        <w:tc>
          <w:tcPr>
            <w:tcW w:type="dxa" w:w="239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Строительство</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29461,1</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124,9</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34061,3</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0,41</w:t>
            </w:r>
          </w:p>
        </w:tc>
      </w:tr>
      <w:tr>
        <w:tc>
          <w:tcPr>
            <w:tcW w:type="dxa" w:w="239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Сфера услуг</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191139,3</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48,1</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216059,3</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49,3</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1,29</w:t>
            </w:r>
          </w:p>
        </w:tc>
      </w:tr>
      <w:tr>
        <w:tc>
          <w:tcPr>
            <w:tcW w:type="dxa" w:w="239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Чистые налоги на продуты и импорт</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56046,7</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62061,6</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w:t>
            </w:r>
          </w:p>
        </w:tc>
        <w:tc>
          <w:tcPr>
            <w:tcW w:type="dxa" w:w="11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0,28</w:t>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Ожидаемый экономический рост на уровне 2,0 % будет обеспечиваться положительным вкладом в ВВП всех секторов экономики, кроме промышленности (отрицательный вклад (-) 0,25 процентных пункта), в том числе за счет роста: (1) производства сельского хозяйства - на 1,5 %; (2) строительного сектора - на 5,5 %; (3) сектора услуг - на 2,7 %. При этом наибольший вклад будет обеспечен со стороны сектора услуг (1,29 процентного пункта), а вклады строительства (0,41 процентного пункта) и сельского хозяйства (0,22 процентного пункта) будут умеренными.</w:t>
      </w:r>
    </w:p>
    <w:p>
      <w:pPr>
        <w:spacing w:after="120"/>
        <w:ind w:firstLine="567"/>
        <w:jc w:val="both"/>
      </w:pPr>
      <w:r>
        <w:rPr>
          <w:rFonts w:ascii="Arial" w:cs="Arial" w:eastAsia="Arial" w:hAnsi="Arial"/>
          <w:sz w:val="24"/>
          <w:szCs w:val="24"/>
        </w:rPr>
        <w:t xml:space="preserve">Отрицательный вклад промышленности обусловлен уменьшением объемов в плане горных работ ЗАО «Кумтор Голд Компани» (до 517,6 тыс. тр. унций) по сравнению с фактической выработкой в 2014 году (567,693 тыс. унции), а также предполагаемым снижением объемов текстильного и швейного производства из-за уменьшения заказов по причине снижения покупательской способности на основных экспортных рынках республики - Российской Федерации и Республики Казахстан.</w:t>
      </w:r>
    </w:p>
    <w:p>
      <w:pPr>
        <w:spacing w:after="120"/>
        <w:ind w:firstLine="709"/>
        <w:jc w:val="both"/>
      </w:pPr>
      <w:r>
        <w:rPr>
          <w:rFonts w:ascii="Arial" w:cs="Arial" w:eastAsia="Arial" w:hAnsi="Arial"/>
          <w:sz w:val="24"/>
          <w:szCs w:val="24"/>
        </w:rPr>
        <w:t xml:space="preserve">В 2015 году рост потребительских цен преимущественно будет определяться волатильностью обменного курса национальной валюты к иностранным валютам, мировыми ценами на продовольствие, а также инфляционными ожиданиями населения в связи с вступлением Кыргызской Республики в ЕАЭС.</w:t>
      </w:r>
    </w:p>
    <w:p>
      <w:pPr>
        <w:spacing w:after="120"/>
        <w:ind w:firstLine="709"/>
        <w:jc w:val="both"/>
      </w:pPr>
      <w:r>
        <w:rPr>
          <w:rFonts w:ascii="Arial" w:cs="Arial" w:eastAsia="Arial" w:hAnsi="Arial"/>
          <w:sz w:val="24"/>
          <w:szCs w:val="24"/>
        </w:rPr>
        <w:t xml:space="preserve">Учитывая тесную интеграцию Кыргызской Республики в региональную экономику, уровень инфляции зависит, прежде всего, от ухудшения/улучшения внешней региональной конъюнктуры. Так, в частности, в последнем прогнозе Министерства экономического развития Российской Федерации отмечается, что потребительские цены будут сохраняться высокими вплоть до начала II полугодия, когда пик инфляции за годовой период может примерно составить 17-17,5 %, которая обусловлена возможным дальнейшим ослаблением рубля при его волатильной динамике. В Республике Казахстан уровень инфляции ожидается в коридоре 6,0-8,0 %.</w:t>
      </w:r>
    </w:p>
    <w:p>
      <w:pPr>
        <w:spacing w:after="120"/>
        <w:ind w:firstLine="709"/>
        <w:jc w:val="both"/>
      </w:pPr>
      <w:r>
        <w:rPr>
          <w:rFonts w:ascii="Arial" w:cs="Arial" w:eastAsia="Arial" w:hAnsi="Arial"/>
          <w:sz w:val="24"/>
          <w:szCs w:val="24"/>
        </w:rPr>
        <w:t xml:space="preserve">Нарастание инфляционных процессов будет вызвано удорожанием импортных товаров, доля которых в потреблении, по оценкам, составляет порядка 80 %, изменением тарифной политики и традиционной зависимости внутреннего рынка хлебопродуктов от импорта муки и зерна и т.д.</w:t>
      </w:r>
    </w:p>
    <w:p>
      <w:pPr>
        <w:spacing w:after="120"/>
        <w:ind w:firstLine="709"/>
        <w:jc w:val="both"/>
      </w:pPr>
      <w:r>
        <w:rPr>
          <w:rFonts w:ascii="Arial" w:cs="Arial" w:eastAsia="Arial" w:hAnsi="Arial"/>
          <w:sz w:val="24"/>
          <w:szCs w:val="24"/>
        </w:rPr>
        <w:t xml:space="preserve">Последние прогнозы ведущих международных организаций</w:t>
      </w:r>
      <w:hyperlink w:history="1" r:id="rId7aqxe2xcnwl2yccgogewz">
        <w:r>
          <w:rPr>
            <w:rFonts w:ascii="Arial" w:cs="Arial" w:eastAsia="Arial" w:hAnsi="Arial"/>
            <w:color w:val="1D4ED8"/>
            <w:sz w:val="24"/>
            <w:szCs w:val="24"/>
            <w:u w:val="single"/>
          </w:rPr>
          <w:t xml:space="preserve">[5]</w:t>
        </w:r>
      </w:hyperlink>
      <w:r>
        <w:rPr>
          <w:rFonts w:ascii="Arial" w:cs="Arial" w:eastAsia="Arial" w:hAnsi="Arial"/>
          <w:sz w:val="24"/>
          <w:szCs w:val="24"/>
        </w:rPr>
        <w:t xml:space="preserve"> относительно производства зерна в мире для 2014-2015 сезона повышены относительно предыдущих, однако данные Министерства сельского хозяйства Республики Казахстан свидетельствуют о том, что согласно зерновому балансу, с учетом переходящих запасов прошлого сезона, экспортный потенциал Республики Казахстан будет меньше, чем в 2014 году. Как ожидается, мировые цены на нефть марки «Brent» и «Urals» продолжат нисходящую динамику в 2015 году. Однако цены на ГСМ в стране будут зависеть от отпускных цен поставщиков.</w:t>
      </w:r>
    </w:p>
    <w:p>
      <w:pPr>
        <w:spacing w:after="120"/>
        <w:ind w:firstLine="567"/>
        <w:jc w:val="both"/>
      </w:pPr>
      <w:r>
        <w:rPr>
          <w:rFonts w:ascii="Arial" w:cs="Arial" w:eastAsia="Arial" w:hAnsi="Arial"/>
          <w:sz w:val="24"/>
          <w:szCs w:val="24"/>
        </w:rPr>
        <w:t xml:space="preserve">Сдерживающее воздействие на инфляцию будут оказывать благоприятные прогнозы международных организаций по основным видам продуктов, которые будут положительно сказываться на динамике потребительских цен на продовольственные товары, которые наиболее существенно влияют на инфляцию.</w:t>
      </w:r>
    </w:p>
    <w:p>
      <w:pPr>
        <w:spacing w:after="120"/>
        <w:ind w:firstLine="567"/>
        <w:jc w:val="both"/>
      </w:pPr>
      <w:r>
        <w:rPr>
          <w:rFonts w:ascii="Arial" w:cs="Arial" w:eastAsia="Arial" w:hAnsi="Arial"/>
          <w:sz w:val="24"/>
          <w:szCs w:val="24"/>
        </w:rPr>
        <w:t xml:space="preserve">Принимая во внимание ситуацию на валютном рынке и влияние обменного курса на стоимость потребительских товаров, 14 января 2015 года принят План мер по сглаживанию резких колебаний обменного курса</w:t>
      </w:r>
      <w:hyperlink w:history="1" r:id="rIdpzpmp2xurk3yqowqwppjm">
        <w:r>
          <w:rPr>
            <w:rFonts w:ascii="Arial" w:cs="Arial" w:eastAsia="Arial" w:hAnsi="Arial"/>
            <w:color w:val="1D4ED8"/>
            <w:sz w:val="24"/>
            <w:szCs w:val="24"/>
            <w:u w:val="single"/>
          </w:rPr>
          <w:t xml:space="preserve">[u3]</w:t>
        </w:r>
      </w:hyperlink>
      <w:r>
        <w:rPr>
          <w:rFonts w:ascii="Arial" w:cs="Arial" w:eastAsia="Arial" w:hAnsi="Arial"/>
          <w:sz w:val="24"/>
          <w:szCs w:val="24"/>
        </w:rPr>
        <w:t xml:space="preserve">, предотвращению спекулятивных операций на валютном рынке, недопущению резкого повышения цен на товары, услуги и ГСМ на 2015 год, где основными мерами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валютных интервенций в целях сглаживания резких колебаний обменного курса сома;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проверок обменных бюро, в частности вне банковского сектора;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товарных интервенций;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отслеживание вывоза наличной валюты;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регулирование нормативов обязательных резервов;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усиленный мониторинг курсов валют и контроль за процессом рыночного ценообразования;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мониторинг цен на социально значимые товары и услуги (мука, хлеб, мясо, молоко, масло, сахар, ГСМ и др.);</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запуск механизма кредитования экспортоориентированных отраслей экономики;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улучшение благоприятного инвестиционного климата для снижения оттока капитала;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анализа платежного баланса Кыргызской Республики и подготовка предложений по стимулированию импортозамещения;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совершенствование структуры отраслей экономики (диверсификация экономики);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комплексного плана развития сельскохозяйственных рынков и ярмарок «выходного дня»;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широкое освещение в СМИ (организация регулярных теле- и радиопередач, пресс-конференций) и т.д.</w:t>
      </w:r>
    </w:p>
    <w:p>
      <w:pPr>
        <w:spacing w:after="120"/>
        <w:ind w:firstLine="709"/>
        <w:jc w:val="both"/>
      </w:pPr>
      <w:r>
        <w:rPr>
          <w:rFonts w:ascii="Arial" w:cs="Arial" w:eastAsia="Arial" w:hAnsi="Arial"/>
          <w:sz w:val="24"/>
          <w:szCs w:val="24"/>
        </w:rPr>
        <w:t xml:space="preserve">В региональном разрезе основная доля производства ВВП в 2015 году будет обеспечиваться за счет функционирования экономик города Бишкек, Чуйской, Иссык-Кульской и Джалал-Абадской областей, с удельным весом 77,4 %, суммарный вклад которых в ВВП республики составил 1,61 %. Значительные доли в общем объеме производства ВВП Джалал-Абадской (10,6 %) и Иссык-Кульской (14,3 %) областей связаны с тем, что на территории Джалал-Абадской области производится около 90 %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120"/>
        <w:ind w:firstLine="709"/>
        <w:jc w:val="both"/>
      </w:pPr>
      <w:r>
        <w:rPr>
          <w:rFonts w:ascii="Arial" w:cs="Arial" w:eastAsia="Arial" w:hAnsi="Arial"/>
          <w:sz w:val="24"/>
          <w:szCs w:val="24"/>
        </w:rPr>
        <w:t xml:space="preserve">Оставшаяся часть распределилась между другими областями с наименьшим вкладом на уровне 0,41 % - Ошской, Баткенской, Нарынской, Таласской и городом Ош.</w:t>
      </w:r>
    </w:p>
    <w:p>
      <w:pPr>
        <w:spacing w:after="120"/>
        <w:ind w:firstLine="708"/>
        <w:jc w:val="center"/>
      </w:pPr>
      <w:r>
        <w:rPr>
          <w:rFonts w:ascii="Arial" w:cs="Arial" w:eastAsia="Arial" w:hAnsi="Arial"/>
          <w:sz w:val="24"/>
          <w:szCs w:val="24"/>
        </w:rPr>
        <w:t xml:space="preserve">Таблица 7</w:t>
      </w:r>
    </w:p>
    <w:p>
      <w:pPr>
        <w:spacing w:after="240" w:before="200"/>
        <w:ind w:firstLine="567"/>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03"/>
        <w:gridCol w:w="1601"/>
        <w:gridCol w:w="1121"/>
        <w:gridCol w:w="1438"/>
        <w:gridCol w:w="1121"/>
        <w:gridCol w:w="997"/>
        <w:gridCol w:w="898"/>
      </w:tblGrid>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ВВП (Республика)</w:t>
            </w:r>
          </w:p>
        </w:tc>
        <w:tc>
          <w:tcPr>
            <w:tcW w:type="dxa" w:w="160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397277,1</w:t>
            </w:r>
          </w:p>
        </w:tc>
        <w:tc>
          <w:tcPr>
            <w:tcW w:type="dxa" w:w="112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103,6</w:t>
            </w:r>
          </w:p>
        </w:tc>
        <w:tc>
          <w:tcPr>
            <w:tcW w:type="dxa" w:w="143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438579,8</w:t>
            </w:r>
          </w:p>
        </w:tc>
        <w:tc>
          <w:tcPr>
            <w:tcW w:type="dxa" w:w="112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102,0</w:t>
            </w:r>
          </w:p>
        </w:tc>
        <w:tc>
          <w:tcPr>
            <w:tcW w:type="dxa" w:w="99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100,0</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16947,8</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18709,7</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41941,1</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46301,5</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0,20</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56697,5</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62592,0</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0,31</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10884,7</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12016,4</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0,06</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27328,2</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30169,4</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0,10</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14136,1</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15605,8</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0,08</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55557,6</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61333,6</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0,28</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153425,5</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169376,2</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38,62</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0,81</w:t>
            </w:r>
          </w:p>
        </w:tc>
      </w:tr>
      <w:tr>
        <w:tc>
          <w:tcPr>
            <w:tcW w:type="dxa" w:w="3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20358,6</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43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22475,2</w:t>
            </w:r>
          </w:p>
        </w:tc>
        <w:tc>
          <w:tcPr>
            <w:tcW w:type="dxa" w:w="11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5,12</w:t>
            </w:r>
          </w:p>
        </w:tc>
        <w:tc>
          <w:tcPr>
            <w:tcW w:type="dxa" w:w="8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0,08</w:t>
            </w:r>
          </w:p>
        </w:tc>
      </w:tr>
    </w:tbl>
    <w:p>
      <w:pPr>
        <w:spacing w:after="120"/>
        <w:ind w:firstLine="709"/>
        <w:jc w:val="both"/>
      </w:pPr>
      <w:r>
        <w:rPr>
          <w:rFonts w:ascii="Arial" w:cs="Arial" w:eastAsia="Arial" w:hAnsi="Arial"/>
          <w:sz w:val="24"/>
          <w:szCs w:val="24"/>
        </w:rPr>
        <w:t xml:space="preserve">4. Макроэкономический прогноз на 2016-2018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Комплексное и сбалансированное государственное управление по обеспечению реализации приоритетов устойчивого развития будет осуществляться на основе НСУР и Программы по переходу Кыргызской Республики к устойчивому развитию на 2013-2017 годы.</w:t>
      </w:r>
    </w:p>
    <w:p>
      <w:pPr>
        <w:spacing w:after="120"/>
        <w:ind w:firstLine="709"/>
        <w:jc w:val="both"/>
      </w:pPr>
      <w:r>
        <w:rPr>
          <w:rFonts w:ascii="Arial" w:cs="Arial" w:eastAsia="Arial" w:hAnsi="Arial"/>
          <w:sz w:val="24"/>
          <w:szCs w:val="24"/>
        </w:rPr>
        <w:t xml:space="preserve">Главной целью макроэкономической политики на 2016-2018 годы является обеспечение макроэкономической стабильности для устойчивого развития. Для этого ключевыми направлениями экономической политики на среднесрочную перспективу будут: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стимулирование экономического роста через улучшение бизнес-среды и инвестиционного климата, интегрирование экономики в региональную экономическую систему, а также реализация структурных реформ для развития отраслей экономики;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среднесрочной бюджетной политики, направленной на опережающий рост доходной части консолидированного бюджета по сравнению с расходной частью, что приведет к заметному снижению дефицита бюджета (с учетом Социального фонда Кыргызской Республики), через улучшение налогового и таможенного администрирования, увеличение налогооблагаемой базы, способствовавшие обеспечению устойчивых и стабильных доходов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политики государственных расходов, сфокусированной на проектах развития, определяемых Программой по переходу Кыргызской Республики к устойчивому развитию на 2013-2017 годы;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 оптимизированной структуры государственного долга;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построение эффективной системы управления государственным имуществом, соответствующей критериям экономической и социальной эффективности;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 устойчивой и эффективной системы финансово-кредитных учреждений, способной эффективно мобилизовать финансовые ресурсы и удовлетворять потребности населения и предпринимателей в долгосрочных и доступных кредитах;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качества социальных услуг посредством принятия конкретных мер и осуществления мероприятий, направленных на жизнеобеспечение населения;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сбалансированное региональное развитие.</w:t>
      </w:r>
    </w:p>
    <w:p>
      <w:pPr>
        <w:spacing w:after="120"/>
        <w:ind w:firstLine="709"/>
        <w:jc w:val="both"/>
      </w:pPr>
      <w:r>
        <w:rPr>
          <w:rFonts w:ascii="Arial" w:cs="Arial" w:eastAsia="Arial" w:hAnsi="Arial"/>
          <w:sz w:val="24"/>
          <w:szCs w:val="24"/>
        </w:rPr>
        <w:t xml:space="preserve">Макроэкономическая стабильность будет обеспечена за счет скоординированной денежно-кредитной, налогово-бюджетной и инвестиционной политики, направленных на развитие реального сектора и обеспечения социальных обязательств.</w:t>
      </w:r>
    </w:p>
    <w:p>
      <w:pPr>
        <w:spacing w:after="120"/>
        <w:ind w:firstLine="709"/>
        <w:jc w:val="both"/>
      </w:pPr>
      <w:r>
        <w:rPr>
          <w:rFonts w:ascii="Arial" w:cs="Arial" w:eastAsia="Arial" w:hAnsi="Arial"/>
          <w:sz w:val="24"/>
          <w:szCs w:val="24"/>
        </w:rPr>
        <w:t xml:space="preserve">При оценке среднесрочных макроэкономических показателей были учтены следующие факторы: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политическая стабильность в стране;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прогнозируемое постепенное оздоровление мировой экономики (в среднем рост на 3,9 %), еврозоны (на 1,6 %), прогнозируемый экономический рост в среднем в соседних государствах – России (0,6 %), Казахстане (3,0 %), Китае (6,4 %);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сдержанные показатели уровня инфляции в странах - основных торговых партнерах Кыргызской Республики - России (4,3-4,4 %), Казахстане (6,0-8,0 %) и в мировой экономике (3,7 %);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расширение внешнеэкономического сотрудничества в рамках Шанхайской организации сотрудничества, СНГ, активное использование членства Кыргызской Республики в ЕАЭС и ВТО, углубление сотрудничества с международными экономическими и финансовыми организациями;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привлекательности бизнес-среды через сокращение государственного вмешательства в экономику;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реализация крупных инвестиционных проектов, определяемых Программой по переходу Кыргызской Республики к устойчивому развитию на 2013-2017 годы;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ввод новых месторождений и выход на проектную мощность НПЗ «Джунда»;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ежегодное предоставление льготных кредитов сельскохозяйственным производителям, что приведет к развитию аграрного сектора и перерабатывающей промышленности;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стабильное развитие сферы услуг.</w:t>
      </w:r>
    </w:p>
    <w:p>
      <w:pPr>
        <w:spacing w:after="120"/>
        <w:ind w:firstLine="709"/>
        <w:jc w:val="both"/>
      </w:pPr>
      <w:r>
        <w:rPr>
          <w:rFonts w:ascii="Arial" w:cs="Arial" w:eastAsia="Arial" w:hAnsi="Arial"/>
          <w:sz w:val="24"/>
          <w:szCs w:val="24"/>
        </w:rPr>
        <w:t xml:space="preserve">К основным рискам, которые могут оказать воздействие на макроэкономическую ситуацию в республике, относятся следующие: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зависимость экономики страны от мировых цен на золото, энергоносители и другие сырьевые ресурсы;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сохранение неустойчивости мировой экономики;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открытость экономики, в значительной степени подверженной влиянию внешних шоков;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зависимость внутреннего рынка от импорта продовольственной группы товаров (мука, растительное масло, сахар, крупы и т.д.), ГСМ;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сокращение рабочих мест в России, Казахстане за счет ужесточения миграционного законодательства;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недопоступление запланированных объемов иностранных инвестиций;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недиверсифицированность экономики: высокая зависимость промышленного сектора от результатов деятельности предприятий по разработке месторождения Кумтор;</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природно-климатический фактор, который может оказать негативное воздействие на развитие агропромышленного комплекса и энергетики;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преобладание импорта в структуре внешнеторгового оборота;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высокий износ материально-технической базы хозяйствующих субъектов;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внушительный размер государственного долга;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высокая доля неформальной экономики;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противостояние части местного населения с деятельностью недропользователей.</w:t>
      </w:r>
    </w:p>
    <w:p>
      <w:pPr>
        <w:spacing w:after="120"/>
        <w:ind w:firstLine="709"/>
        <w:jc w:val="both"/>
      </w:pPr>
      <w:r>
        <w:rPr>
          <w:rFonts w:ascii="Arial" w:cs="Arial" w:eastAsia="Arial" w:hAnsi="Arial"/>
          <w:sz w:val="24"/>
          <w:szCs w:val="24"/>
        </w:rPr>
        <w:t xml:space="preserve">Экономический рост, прогнозируемый в 2016-2018 годы на уровне 4,4 % в среднем за год, будет поддерживаться со стороны всех секторов реальной экономики, формирующих ВВП страны.</w:t>
      </w:r>
    </w:p>
    <w:p>
      <w:pPr>
        <w:spacing w:after="120"/>
        <w:ind w:firstLine="709"/>
        <w:jc w:val="right"/>
      </w:pPr>
      <w:r>
        <w:rPr>
          <w:rFonts w:ascii="Arial" w:cs="Arial" w:eastAsia="Arial" w:hAnsi="Arial"/>
          <w:sz w:val="24"/>
          <w:szCs w:val="24"/>
        </w:rPr>
        <w:t xml:space="preserve">Таблица 8</w:t>
      </w:r>
    </w:p>
    <w:p>
      <w:pPr>
        <w:spacing w:after="240" w:before="200"/>
        <w:jc w:val="center"/>
      </w:pPr>
      <w:r>
        <w:rPr>
          <w:rFonts w:ascii="Arial" w:cs="Arial" w:eastAsia="Arial" w:hAnsi="Arial"/>
          <w:b/>
          <w:bCs/>
          <w:sz w:val="32"/>
          <w:szCs w:val="32"/>
        </w:rPr>
        <w:t xml:space="preserve">Реальные вклады секторов производства ВВП на 2016-2018 годы (%)</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0"/>
        <w:gridCol w:w="1315"/>
        <w:gridCol w:w="1317"/>
        <w:gridCol w:w="1290"/>
        <w:gridCol w:w="1678"/>
        <w:gridCol w:w="1387"/>
      </w:tblGrid>
      <w:tr>
        <w:tc>
          <w:tcPr>
            <w:tcW w:type="dxa" w:w="31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2016 год,</w:t>
            </w:r>
          </w:p>
          <w:p>
            <w:pPr>
              <w:jc w:val="center"/>
            </w:pPr>
            <w:r>
              <w:rPr>
                <w:rFonts w:ascii="Arial" w:cs="Arial" w:eastAsia="Arial" w:hAnsi="Arial"/>
                <w:b/>
                <w:bCs/>
                <w:sz w:val="24"/>
                <w:szCs w:val="24"/>
              </w:rPr>
              <w:t xml:space="preserve">прогноз</w:t>
            </w:r>
          </w:p>
        </w:tc>
        <w:tc>
          <w:tcPr>
            <w:tcW w:type="dxa" w:w="13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2017 год, прогноз</w:t>
            </w:r>
          </w:p>
        </w:tc>
        <w:tc>
          <w:tcPr>
            <w:tcW w:type="dxa" w:w="12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2018 год, прогноз</w:t>
            </w:r>
          </w:p>
        </w:tc>
        <w:tc>
          <w:tcPr>
            <w:tcW w:type="dxa" w:w="167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Средний показатель за 2016-2018 годы</w:t>
            </w:r>
          </w:p>
        </w:tc>
        <w:tc>
          <w:tcPr>
            <w:tcW w:type="dxa" w:w="138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Вклад в прирост ВВП на 2016-2018 годы</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Промышленность</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68466,8</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76879,3</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86065,5</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77137,2</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108,4</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Сельское хозяйство</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70585,0</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76877,8</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85274,8</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77579,2</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0,28</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13,8</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Строительство</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37516,6</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42311,5</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53662,6</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44496,9</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0,50</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Услуги</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241208,2</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271936,9</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306523,7</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273222,9</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49,6</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49,9</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49,5</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49,7</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Налоги </w:t>
            </w:r>
            <w:r>
              <w:rPr>
                <w:rFonts w:ascii="Arial" w:cs="Arial" w:eastAsia="Arial" w:hAnsi="Arial"/>
                <w:sz w:val="24"/>
                <w:szCs w:val="24"/>
              </w:rPr>
              <w:t xml:space="preserve">на продукты и импорт</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68715,6</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76798,5</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87183,5</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77565,9</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0,62</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Темпы реального роста ВВП,%</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103,3</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104,3</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105,5</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104,4</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4,38</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Дефлятор ВВП</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107,3</w:t>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107,4</w:t>
            </w:r>
          </w:p>
        </w:tc>
        <w:tc>
          <w:tcPr>
            <w:tcW w:type="dxa" w:w="12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107,7</w:t>
            </w:r>
          </w:p>
        </w:tc>
        <w:tc>
          <w:tcPr>
            <w:tcW w:type="dxa" w:w="16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107,5</w:t>
            </w:r>
          </w:p>
        </w:tc>
        <w:tc>
          <w:tcPr>
            <w:tcW w:type="dxa" w:w="138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Максимальный вклад (1,8 процентных пункта) в среднегодовые темпы экономического роста прогнозируется от работы объектов и предприятий сферы услуг. Реальные вклады промышленного производства, сельского хозяйства и строительства составят 1,18, 0,28 и 0,50 процентного пункта, соответственно.</w:t>
      </w:r>
    </w:p>
    <w:p>
      <w:pPr>
        <w:spacing w:after="120"/>
        <w:ind w:firstLine="708"/>
        <w:jc w:val="both"/>
      </w:pPr>
      <w:r>
        <w:rPr>
          <w:rFonts w:ascii="Arial" w:cs="Arial" w:eastAsia="Arial" w:hAnsi="Arial"/>
          <w:sz w:val="24"/>
          <w:szCs w:val="24"/>
        </w:rPr>
        <w:t xml:space="preserve">В региональном разрезе основная доля производства ВВП в 2016-2018 годах будет обеспечиваться за счет функционирования экономик города Бишкек, Чуйской, Иссык-Кульской, Джалал-Абадской областей, суммарный средний вклад которых в ВВП республики составит 3,4 %.        77,4 % ВВП будет традиционно формироваться в городе Бишкек и Чуйской, Иссык-Кульской, Джалал-Абадской областях.</w:t>
      </w:r>
    </w:p>
    <w:p>
      <w:pPr>
        <w:spacing w:after="120"/>
        <w:ind w:firstLine="708"/>
        <w:jc w:val="center"/>
      </w:pPr>
      <w:r>
        <w:rPr>
          <w:rFonts w:ascii="Arial" w:cs="Arial" w:eastAsia="Arial" w:hAnsi="Arial"/>
          <w:sz w:val="24"/>
          <w:szCs w:val="24"/>
        </w:rPr>
        <w:t xml:space="preserve">Таблица 9</w:t>
      </w:r>
    </w:p>
    <w:p>
      <w:pPr>
        <w:spacing w:after="240" w:before="200"/>
        <w:ind w:firstLine="567"/>
        <w:jc w:val="center"/>
      </w:pPr>
      <w:r>
        <w:rPr>
          <w:rFonts w:ascii="Arial" w:cs="Arial" w:eastAsia="Arial" w:hAnsi="Arial"/>
          <w:b/>
          <w:bCs/>
          <w:sz w:val="32"/>
          <w:szCs w:val="32"/>
        </w:rPr>
        <w:t xml:space="preserve">Вклады регионов в производство ВВП</w:t>
      </w:r>
    </w:p>
    <w:p>
      <w:pPr>
        <w:spacing w:after="12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9"/>
        <w:gridCol w:w="1258"/>
        <w:gridCol w:w="1258"/>
        <w:gridCol w:w="1258"/>
        <w:gridCol w:w="1657"/>
        <w:gridCol w:w="1207"/>
      </w:tblGrid>
      <w:tr>
        <w:tc>
          <w:tcPr>
            <w:tcW w:type="dxa" w:w="3539"/>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Республика</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105,5</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104,4</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107,4</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107,7</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107,5</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0,16</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103,8</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0,43</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104,1</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0,67</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105,8</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104,7</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0,10</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103,8</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0,31</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104,6</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0,16</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105,4</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104,4</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0,65</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104,7</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1,65</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104,3</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38,6</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38,6</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0,21</w:t>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104,1</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доля в ВВП, %</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w:t>
            </w:r>
          </w:p>
        </w:tc>
        <w:tc>
          <w:tcPr>
            <w:tcW w:type="dxa" w:w="16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w:t>
            </w:r>
          </w:p>
        </w:tc>
        <w:tc>
          <w:tcPr>
            <w:tcW w:type="dxa" w:w="120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Успешная реализация экономических приоритетов предполагает координированное проведение денежно-кредитной, налогово-бюджетной и инвестиционной политики для обеспечения макроэкономической стабильности, что позволит оказать положительное воздействие на сокращение дефицита государственного бюджета, снизить социальную напряженность в обществе через рост занятости, создать условия для предсказуемости и сдерживания инфляции.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Денежно-кредитная политика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Главной целью макроэкономической политики на среднесрочный период является сохранение макроэкономической стабильности посредством достижения и поддержания стабильности цен, которая, в свою очередь, является фундаментальным фактором, определяющим возможности экономического роста в Кыргызской Республике, за счет проведения соответствующей денежно-кредитной политики.</w:t>
      </w:r>
    </w:p>
    <w:p>
      <w:pPr>
        <w:spacing w:after="120"/>
        <w:ind w:firstLine="709"/>
        <w:jc w:val="both"/>
      </w:pPr>
      <w:r>
        <w:rPr>
          <w:rFonts w:ascii="Arial" w:cs="Arial" w:eastAsia="Arial" w:hAnsi="Arial"/>
          <w:sz w:val="24"/>
          <w:szCs w:val="24"/>
        </w:rPr>
        <w:t xml:space="preserve">Для этого Национальный банк будет проводить денежно-кредитную политику в рамках Основных направлений денежно-кредитной политики на среднесрочный период (постановление Правления Национального банка от 17 декабря 2014 года № 55/3). </w:t>
      </w:r>
    </w:p>
    <w:p>
      <w:pPr>
        <w:spacing w:after="120"/>
        <w:ind w:firstLine="709"/>
        <w:jc w:val="both"/>
      </w:pPr>
      <w:r>
        <w:rPr>
          <w:rFonts w:ascii="Arial" w:cs="Arial" w:eastAsia="Arial" w:hAnsi="Arial"/>
          <w:sz w:val="24"/>
          <w:szCs w:val="24"/>
        </w:rPr>
        <w:t xml:space="preserve">В среднесрочной перспективе основные инфляционные риски, преимущественно, связанные с членством Кыргызской Республики и новыми условиями ЕАЭС, могут оказать повышающее давление на динамику потребительских цен.</w:t>
      </w:r>
    </w:p>
    <w:p>
      <w:pPr>
        <w:spacing w:after="120"/>
        <w:ind w:firstLine="709"/>
        <w:jc w:val="both"/>
      </w:pPr>
      <w:r>
        <w:rPr>
          <w:rFonts w:ascii="Arial" w:cs="Arial" w:eastAsia="Arial" w:hAnsi="Arial"/>
          <w:sz w:val="24"/>
          <w:szCs w:val="24"/>
        </w:rPr>
        <w:t xml:space="preserve">В среднесрочной перспективе ожидается сохранение инфляционного давления со стороны обменного курса сома с постепенным угасанием. Основной задачей является поддержание покупательской способности национальной валюты, обеспечение эффективности, безопасности и надежности банковской платежной системы.</w:t>
      </w:r>
    </w:p>
    <w:p>
      <w:pPr>
        <w:spacing w:after="120"/>
        <w:ind w:firstLine="709"/>
        <w:jc w:val="both"/>
      </w:pPr>
      <w:r>
        <w:rPr>
          <w:rFonts w:ascii="Arial" w:cs="Arial" w:eastAsia="Arial" w:hAnsi="Arial"/>
          <w:sz w:val="24"/>
          <w:szCs w:val="24"/>
        </w:rPr>
        <w:t xml:space="preserve">Количественным ориентиром денежно-кредитной политики будет удержание уровня инфляции в пределах однозначных значений в среднесрочном периоде. Принимая во внимание, что Кыргызская Республика является малой открытой экономикой, а также наличие высокой импортозависимости страны, неустойчивый характер макроэкономической ситуации в стране, ценовая динамика подвержена большому влиянию изменений, которые могут быть вызваны воздействием внешних и внутренних факторов риска немонетарного характера. В случаях, проявления таких рисков - будет приводить к устойчивому отдалению инфляции от количественного ориентира, меры денежно-кредитной политики будут направлены на то, чтобы вернуть инфляцию к количественному ориентиру.</w:t>
      </w:r>
    </w:p>
    <w:p>
      <w:pPr>
        <w:spacing w:after="120"/>
        <w:ind w:firstLine="709"/>
        <w:jc w:val="both"/>
      </w:pPr>
      <w:r>
        <w:rPr>
          <w:rFonts w:ascii="Arial" w:cs="Arial" w:eastAsia="Arial" w:hAnsi="Arial"/>
          <w:sz w:val="24"/>
          <w:szCs w:val="24"/>
        </w:rPr>
        <w:t xml:space="preserve">Среднесрочной задачей денежно-кредитной политики является усиление работы процентного канала передаточного механизма, который позволит повысить степень монетизации экономики и уровень финансового посредничества банковской системы.</w:t>
      </w:r>
    </w:p>
    <w:p>
      <w:pPr>
        <w:spacing w:after="120"/>
        <w:ind w:firstLine="709"/>
        <w:jc w:val="both"/>
      </w:pPr>
      <w:r>
        <w:rPr>
          <w:rFonts w:ascii="Arial" w:cs="Arial" w:eastAsia="Arial" w:hAnsi="Arial"/>
          <w:sz w:val="24"/>
          <w:szCs w:val="24"/>
        </w:rPr>
        <w:t xml:space="preserve">Разработка денежно-кредитной политики будет осуществляться на основе таргетирования процентных ставок, которое позволит Национальному банку влиять на краткосрочные рыночные ставки, что создаст условия для сближения процентных ставок денежного и кредитного рынков. В качестве промежуточного ориентира денежно-кредитной политики будет выступать учетная ставка Национального банка, которая является ориентиром стоимости средств на денежном рынке.</w:t>
      </w:r>
    </w:p>
    <w:p>
      <w:pPr>
        <w:spacing w:after="120"/>
        <w:ind w:firstLine="709"/>
        <w:jc w:val="both"/>
      </w:pPr>
      <w:r>
        <w:rPr>
          <w:rFonts w:ascii="Arial" w:cs="Arial" w:eastAsia="Arial" w:hAnsi="Arial"/>
          <w:sz w:val="24"/>
          <w:szCs w:val="24"/>
        </w:rPr>
        <w:t xml:space="preserve">Операционным ориентиром денежно-кредитной политики будут являться процентные ставки денежного рынка. Национальный банк будет определять значения процентных ставок коридора вокруг учетной ставки. В качестве нижнего уровня коридора ставок будет выступать ставка по денежно-кредитному инструменту Национального банка «депозит «овернайт»», в качестве верхнего уровня – ставка по денежно-кредитному инструменту «кредит «овернайт»».</w:t>
      </w:r>
    </w:p>
    <w:p>
      <w:pPr>
        <w:spacing w:after="120"/>
        <w:ind w:firstLine="709"/>
        <w:jc w:val="both"/>
      </w:pPr>
      <w:r>
        <w:rPr>
          <w:rFonts w:ascii="Arial" w:cs="Arial" w:eastAsia="Arial" w:hAnsi="Arial"/>
          <w:sz w:val="24"/>
          <w:szCs w:val="24"/>
        </w:rPr>
        <w:t xml:space="preserve">При реализации денежно-кредитной политики Национальный банк будет использовать весь спектр инструментов денежно-кредитной политики. При необходимости, будут модифицироваться уже существующие и внедряться новые инструменты.</w:t>
      </w:r>
    </w:p>
    <w:p>
      <w:pPr>
        <w:spacing w:after="120"/>
        <w:ind w:firstLine="709"/>
        <w:jc w:val="both"/>
      </w:pPr>
      <w:r>
        <w:rPr>
          <w:rFonts w:ascii="Arial" w:cs="Arial" w:eastAsia="Arial" w:hAnsi="Arial"/>
          <w:sz w:val="24"/>
          <w:szCs w:val="24"/>
        </w:rPr>
        <w:t xml:space="preserve">Национальный банк продолжит придерживаться принятого режима плавающего обменного курса. Валютные интервенции будут осуществляться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смягчения влияния колебаний курсов иностранных валют на внешних рынках, диверсификации рисков ухудшения стоимости резервных активов Национального банка, накопления золотовалютных резервов, Национальный банк будет осуществлять покупку золота за национальную валюту на внутреннем рынке.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Фискальная политика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Основными целями фискальной политики на среднесрочный период будут создание эффективной системы фискального регулирования в условиях перехода Кыргызской Республики к устойчивому развитию.</w:t>
      </w:r>
    </w:p>
    <w:p>
      <w:pPr>
        <w:spacing w:after="120"/>
        <w:ind w:firstLine="709"/>
        <w:jc w:val="both"/>
      </w:pPr>
      <w:r>
        <w:rPr>
          <w:rFonts w:ascii="Arial" w:cs="Arial" w:eastAsia="Arial" w:hAnsi="Arial"/>
          <w:sz w:val="24"/>
          <w:szCs w:val="24"/>
        </w:rPr>
        <w:t xml:space="preserve">Основными направлениями фискальной политики на среднесрочный период будет продолжение реализации мер, предусмотренных НСУР: (1) улучшение инвестиционного климата; (2) обеспечение полноты сбора налогов; (3) модернизация налоговой и таможенной служб; (4) совершенствование и автоматизация системы налоговой отчетности; (5) усовершенствование системы налоговой отчетности в целях сокращения количества отчетов и упорядочения периодичности их представления; (6) выявление и устранение коррупционных схем, порождающих системную коррупцию, вскрытие ее подлинных социально-экономических корней, пропаганда законопослушного образа жизни, с усилением гарантий, обеспечивающих реализацию антикоррупционной политики государства в фискальной сфере.</w:t>
      </w:r>
    </w:p>
    <w:p>
      <w:pPr>
        <w:spacing w:after="120"/>
        <w:ind w:firstLine="720"/>
        <w:jc w:val="both"/>
      </w:pPr>
      <w:r>
        <w:rPr>
          <w:rFonts w:ascii="Arial" w:cs="Arial" w:eastAsia="Arial" w:hAnsi="Arial"/>
          <w:sz w:val="24"/>
          <w:szCs w:val="24"/>
        </w:rPr>
        <w:t xml:space="preserve">Основными задачами фискальной политики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качества государственного управления и принятия решений в области фискальной политики;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максимально возможное выравнивание налоговой нагрузки субъектов разных секторов и отраслей экономики и субъектов, применяющих разные режимы налогообложения;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дальнейшее совершенствование законодательства по обязательным платежам и их администрированию, позволяющее налогоплательщику с наименьшими временными и трудовыми затратами исполнить свои обязательства, а должностным лицам уполномоченных государственных органов - осуществлять эффективное администрирование;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развитие существующих и освоение новых инструментов администрирования, обеспечивающих успешную интеграцию с государствами - членами Евразийского экономического союза;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постоянное обогащение практики взимания обязательных платежей новыми механизмами администрирования, внедряемыми на основе изучения лучших мировых практик, их отбора, переформатирования и внедрения с учетом особенностей и потребностей страны;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и реализация первого этапа долгосрочной государственной программы формирования налоговой культуры и повышения налоговой грамотности как налогоплательщиков, так и государственных служащих.</w:t>
      </w:r>
    </w:p>
    <w:p>
      <w:pPr>
        <w:spacing w:after="120"/>
        <w:ind w:firstLine="709"/>
        <w:jc w:val="both"/>
      </w:pPr>
      <w:r>
        <w:rPr>
          <w:rFonts w:ascii="Arial" w:cs="Arial" w:eastAsia="Arial" w:hAnsi="Arial"/>
          <w:sz w:val="24"/>
          <w:szCs w:val="24"/>
        </w:rPr>
        <w:t xml:space="preserve">Мерами в области фискальной политики на среднесрочной и долгосрочный периоды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 единого подхода к классификации неналоговых платежей с максимальным приведением в соответствие подходов по их администрированию с подходами, применяемыми в налоговом законодательстве;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и принятие единого нормативного правового акта по регулированию правоотношений по неналоговым платежам;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принятие законодательного акта по запрету на введение любых обязательных платежей подзаконными нормативными правовыми актами с обеспечением его исполнения путем введения соответствующих мер ответственности за нарушение данного запрета;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предоставление полномочий органам местного самоуправления по внедрению новых инструментов администрирования местных налогов, включая установление дополнительных коэффициентов по местным налогам и увеличению диапазонов для действующих ставок;</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подготовительных работ и реализация пилотного проекта по администрированию страховых взносов по государственному социальному страхованию в налоговых органах в соответствии с мероприятиями, утвержденными распоряжением Правительства Кыргызской Республики от 7 мая 2014 года 149-р, и принятие решения о передаче функций по администрированию страховых взносов от Социального фонда Государственной налоговой службе при Правительстве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пересмотр системы формирования, классификации и предоставления государственной статистической информации для целей фискальной политики, формирования доходов и анализа расходов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изучение возможности предоставления отчетности о финансовой деятельности плательщиком одному государственному органу;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установление исключительной прерогативой государственным органам, уполномоченным проводить политику по обязательным платежам, принятие решения об инициировании проекта нормативного правового акта по предложениям министерств или административных ведомств, касающихся введения, отмены, исчисления или уплаты обязательных платежей;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пересмотр системы государственной регистрации субъектов предпринимательства и устранение ее раздробленности путем создания единой системы государственной регистрации бизнеса в Государственной налоговой службе при Правительстве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внедрение в республике, в рамках существующей судебной системы, нового института - административный суд, который на первом этапе своего становления будет выполнять функции налогового суда, предметом рассмотрения которого будет совокупность правоотношений, складывающихся в процессе администрирования налогов, таможенных и неналоговых платежей и страховых взносов;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исключение дублирования НДС и налога с продаж;</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изменение механизма регистрации, учета и контроля подакцизной группы товаров путем внедрения акцизных марок на алкогольную и табачную продукцию с использованием системы маркировки контрольными (идентификационными) знаками;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принятие комплексных мер по усилению контроля производства и реализации подакцизных товаров;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пересмотр налогового режима на основе добровольного патента с целью:</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сокращения количества видов деятельности по нему;</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увеличения базовых ставок добровольного патента;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установление запрета субъектам, осуществляющим импортно-экспортные операции, применять данный режим;</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изменения подхода, в соответствии с которым размер налога определяется исключительно как компенсация уплаты налога на прибыль и налога с продаж от предполагаемого дохода;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создания механизмов и инструментов для стимулирования перехода на налоговые режимы более высокого уровня.</w:t>
      </w:r>
    </w:p>
    <w:p>
      <w:pPr>
        <w:spacing w:after="120"/>
        <w:ind w:firstLine="709"/>
        <w:jc w:val="both"/>
      </w:pPr>
      <w:r>
        <w:rPr>
          <w:rFonts w:ascii="Arial" w:cs="Arial" w:eastAsia="Arial" w:hAnsi="Arial"/>
          <w:sz w:val="24"/>
          <w:szCs w:val="24"/>
        </w:rPr>
        <w:t xml:space="preserve">В итоге предпринимательскую деятельность на основе добровольного патента будут осуществлять только индивидуальные предприниматели микробизнеса (ремонт обуви, ремонт часов, домработницы, няни, переводчики, репетиторы и т.д.).</w:t>
      </w:r>
    </w:p>
    <w:p>
      <w:pPr>
        <w:spacing w:after="120"/>
        <w:ind w:firstLine="709"/>
        <w:jc w:val="both"/>
      </w:pPr>
      <w:r>
        <w:rPr>
          <w:rFonts w:ascii="Arial" w:cs="Arial" w:eastAsia="Arial" w:hAnsi="Arial"/>
          <w:sz w:val="24"/>
          <w:szCs w:val="24"/>
        </w:rPr>
        <w:t xml:space="preserve">Присоединение Кыргызской Республики к ЕАЭС не предполагает единой системы налогов и платежей (за исключением таможенных пошлин), и в целях облегчения процедур интеграции в ЕАЭС, как для государственных органов, так и для субъектов предпринимательства, представляется предпочтительным применение там, где это необходимо, единых подходов к формированию налоговой отчетности, сближению позиций по применению налоговых механизмов и инструментов. При этом, необходимо максимально сохранить имеющиеся у Кыргызской Республики преимущества в сфере налогообложения, предусматривающие стимулы для развития бизнеса.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Бюджетная политика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Основной целью бюджетной политики на среднесрочный период является достижение бюджетной устойчивости, построение эффективной и прозрачной бюджетной системы, повышение эффективности использования государственных бюджетных средств, ее ориентация на стимулирование экономического роста, результативность бюджетных расходов и повышение качества предоставляемых услуг, обеспечение потребностей в финансировании в рамках перехода к устойчивому развитию, с учетом формирования оптимизированной структуры государственного долга.</w:t>
      </w:r>
    </w:p>
    <w:p>
      <w:pPr>
        <w:spacing w:after="120"/>
        <w:ind w:firstLine="709"/>
        <w:jc w:val="both"/>
      </w:pPr>
      <w:r>
        <w:rPr>
          <w:rFonts w:ascii="Arial" w:cs="Arial" w:eastAsia="Arial" w:hAnsi="Arial"/>
          <w:sz w:val="24"/>
          <w:szCs w:val="24"/>
        </w:rPr>
        <w:t xml:space="preserve">Бюджетная политика на среднесрочный период будет сфокусирована на следующих приоритетных направлениях: (1) обеспечение бюджетной устойчивости; (2) реформирование системы управления государственными финансами; (3) сохранение устойчивости государственного внешнего долга и увеличение объемов внутреннего заимствования.</w:t>
      </w:r>
    </w:p>
    <w:p>
      <w:pPr>
        <w:spacing w:after="120"/>
        <w:ind w:firstLine="708"/>
        <w:jc w:val="both"/>
      </w:pPr>
      <w:r>
        <w:rPr>
          <w:rFonts w:ascii="Arial" w:cs="Arial" w:eastAsia="Arial" w:hAnsi="Arial"/>
          <w:sz w:val="24"/>
          <w:szCs w:val="24"/>
        </w:rPr>
        <w:t xml:space="preserve">Приоритетное направление по обеспечению бюджетной устойчивости будет ориентировано на решение следующих задач: увеличение ресурсного потенциала бюджета; оптимизация государственных расходов; сокращение дефицита бюджета.</w:t>
      </w:r>
    </w:p>
    <w:p>
      <w:pPr>
        <w:spacing w:after="120"/>
        <w:ind w:firstLine="709"/>
        <w:jc w:val="both"/>
      </w:pPr>
      <w:r>
        <w:rPr>
          <w:rFonts w:ascii="Arial" w:cs="Arial" w:eastAsia="Arial" w:hAnsi="Arial"/>
          <w:sz w:val="24"/>
          <w:szCs w:val="24"/>
        </w:rPr>
        <w:t xml:space="preserve">Для реализации указанных направлений будут приняты следующие меры: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совершенствование процесса планирования бюджета; переход от социально ориентированного бюджета к бюджету развития; сокращение государственных расходов и сдерживание принятия новых расходных инициатив, не имеющих соответствующего финансового подкрепления;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усиление бюджетной дисциплины; обеспечение сбалансированности бюджета, основанного на принципе «жить по средствам»; усиление контроля за эффективностью государственных расходов;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определение финансовых и нефинансовых индикаторов эффективности использования бюджетных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заинтересованности ОМСУ за увеличение доходного потенциала и улучшение эффективности расходов; повышение роли и ответственности ОМСУ по управлению местными бюджетами; поэтапное снижение дотационности местных бюджетов;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осуществление электронных торгов при проведении государственных закупок и интегрирование системы электронных закупок в бюджетный процесс;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реструктуризации двустороннего внешнего долга в рамках реализации Протокола Парижского клуба 2005 года; инициирование механизма конверсионных операций с двусторонним долгом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привлечение новых государственных внешних заимствований при соблюдении минимального уровня льготности займов (грант-элемент) в 35 %; ограничение ежегодных объемов вновь привлекаемых внешних заимствований с учетом сохранения ежегодного остатка внешнего долга, не превышающего 60 % ВВП;</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финансирование потребности бюджета исключительно за счет выпуска и размещения рыночных инструментов государственного внутреннего заимствования.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Бюджет развития</w:t>
      </w:r>
    </w:p>
    <w:p>
      <w:pPr>
        <w:spacing w:after="120"/>
        <w:ind w:firstLine="709"/>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Средства бюджета развития используются для развития государственных приоритетных и социально экономических значимых объектов.</w:t>
      </w:r>
    </w:p>
    <w:p>
      <w:pPr>
        <w:spacing w:after="120"/>
        <w:ind w:firstLine="851"/>
        <w:jc w:val="both"/>
      </w:pPr>
      <w:r>
        <w:rPr>
          <w:rFonts w:ascii="Arial" w:cs="Arial" w:eastAsia="Arial" w:hAnsi="Arial"/>
          <w:sz w:val="24"/>
          <w:szCs w:val="24"/>
        </w:rPr>
        <w:t xml:space="preserve">За последние годы большая часть финансовых средств за счет капитальных вложений направлялась в первоочередном порядке на строительство и реконструкцию социальных объектов (объекты образования, здравоохранения), восстановление аварийных объектов. Следует отметить, что никакого системного обоснования для строительства или завершения объектов не предусмотрено.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w:t>
      </w:r>
    </w:p>
    <w:p>
      <w:pPr>
        <w:spacing w:after="120"/>
        <w:ind w:firstLine="851"/>
        <w:jc w:val="both"/>
      </w:pPr>
      <w:r>
        <w:rPr>
          <w:rFonts w:ascii="Arial" w:cs="Arial" w:eastAsia="Arial" w:hAnsi="Arial"/>
          <w:sz w:val="24"/>
          <w:szCs w:val="24"/>
        </w:rPr>
        <w:t xml:space="preserve">В этой связи в 2016-2018 годах государственные капитальные вложения будут направляться для обеспечения устойчивого экономического развития регионов и республики.</w:t>
      </w:r>
    </w:p>
    <w:p>
      <w:pPr>
        <w:spacing w:after="120"/>
        <w:ind w:firstLine="851"/>
        <w:jc w:val="both"/>
      </w:pPr>
      <w:r>
        <w:rPr>
          <w:rFonts w:ascii="Arial" w:cs="Arial" w:eastAsia="Arial" w:hAnsi="Arial"/>
          <w:sz w:val="24"/>
          <w:szCs w:val="24"/>
        </w:rPr>
        <w:t xml:space="preserve">Основными задачами по совершенствованию и развитию финансирования за счет государственных капитальных вложений будут: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оценки на стадии согласования среднесрочных государственных, отраслевых (секторальных) и региональных программ, и отбор на основании положительного заключения по их оценке;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включение отобранных инвестиционных предложений в перечень инвестиционных проектов (программ) в качестве планируемых бюджетных инвестиционных проектов (программ), которые будут включены с момента реализации на второй или третий год планируемого периода;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проектов Перечня приоритетных республиканских бюджетных инвестиционных проектов и перечня приоритетных местных бюджетных инвестиционных проектов ежегодно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и местных бюджетов соответственно, в части определения перечня и объемов финансирования бюджетных программ развития.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Инвестиционная политика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Основной задачей в проведении инвестиционной политики на среднесрочный период является повышение привлекательности инвестиционного климата в Кыргызской Республике, включая обеспечение защиты прав собственников и участников экономических отношений, которое будет сфокусировано на следующих приоритетных направлениях: (1) повышение эффективности государственной инвестиционной политики; (2) формирование механизмов привлечения и поддержки инвестиций.</w:t>
      </w:r>
    </w:p>
    <w:p>
      <w:pPr>
        <w:spacing w:after="120"/>
        <w:ind w:firstLine="708"/>
        <w:jc w:val="both"/>
      </w:pPr>
      <w:r>
        <w:rPr>
          <w:rFonts w:ascii="Arial" w:cs="Arial" w:eastAsia="Arial" w:hAnsi="Arial"/>
          <w:sz w:val="24"/>
          <w:szCs w:val="24"/>
        </w:rPr>
        <w:t xml:space="preserve">Продвижение направлений предполагает реализацию следующих мер:</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эффективная организация работы агентства по продвижению инвестиций, который выступает в качестве координирующего органа и будет работать по принципу «единого окна», когда любой потенциальный инвестор сможет получить необходимую информацию и содействие в запуске и реализации проекта; внедрение института инвестиционных представителей в дипломатических представительствах, которые будут играть роль агентов для проведения целевых кампаний на местах по привлечению инвестиций в страну;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единой базы данных по действующим и планируемым инвестиционным проектам; информирование населения о потенциальных выгодах от реализации планируемых и действующих проектов;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порядка реализации прав инвестора на выбор наиболее благоприятного режима в случае изменения законодательства путем принятия нормативных правовых актов; внесение законодательных ограничений на принятие нормативного правового акта, ухудшающих положение инвесторов; законодательное установление четких оснований для принудительного изъятия государством имущества, предусматривающих справедливые механизмы изъятия и компенсации;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организация мероприятий по изучению опыта лучших зарубежных агентств по привлечению инвестиций;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определение критериев оценки проектов для получения преференций и стимулов; разработка карты инвестиционных стимулов (КИС) по следующим критериям: объем инвестиций, территория, сектор экономики; наличие экологических компонентов в инвестпроектах; разработка проектов нормативных правовых актов, регулирующих порядок предоставления инвестиционных преференций на основе КИС; разработка и распространение инвестиционных справочников по предоставляемым стимулам;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активное вовлечение бизнес-структур и институтов гражданского сообщества в процесс оценки регулятивного воздействия;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продолжение реформирования лицензионно-разрешительной сферы, с акцентом на рациональное использование ограниченных природных ресурсов и сокращение количества лицензий и разрешений контрольно-надзорной сферы, в части ужесточения требований к соблюдению норм законодательства в сфере экологии;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внедрение новой системы оценки критериев риска контролирующими органами, с акцентом на ужесточение требований законодательства по экологической безопасности; разработка нового механизма проверок, основанного на системе критериев риска, в том числе направленных на сохранение окружающей среды;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поэтапное внедрение автоматизированной базы данных проверок.</w:t>
      </w:r>
    </w:p>
    <w:p>
      <w:pPr>
        <w:spacing w:after="120"/>
        <w:ind w:firstLine="349"/>
        <w:jc w:val="both"/>
      </w:pPr>
      <w:r>
        <w:rPr>
          <w:rFonts w:ascii="Arial" w:cs="Arial" w:eastAsia="Arial" w:hAnsi="Arial"/>
          <w:b/>
          <w:bCs/>
          <w:sz w:val="24"/>
          <w:szCs w:val="24"/>
        </w:rPr>
        <w:t xml:space="preserve">Инновационная политика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Основной целью инновационной политики является создание эффективной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120"/>
        <w:ind w:firstLine="709"/>
        <w:jc w:val="both"/>
      </w:pPr>
      <w:r>
        <w:rPr>
          <w:rFonts w:ascii="Arial" w:cs="Arial" w:eastAsia="Arial" w:hAnsi="Arial"/>
          <w:sz w:val="24"/>
          <w:szCs w:val="24"/>
        </w:rPr>
        <w:t xml:space="preserve">В среднесрочном периоде, исходя из имеющихся возможностей страны, работа будет направлена на создание системы и механизмов поиска, заимствования, адаптацию и распространение эффективных и инновационных для отечественных предприятий технологий. Приоритетными направлениями определены следующие: (1) создание благоприятных условий для развития инновационной деятельности и использования объектов интеллектуальной собственности; (2) построение системы, содействующей эффективному принятию решений в области развития инновационной деятельности, включая энергосберегающие и энергоэффективные технологии; (3) совершенствование нормативной правовой базы в сфере инновационной деятельности и защиты прав на объекты интеллектуальной собственности; (4) создание условий для обучения, повышения квалификации и информированности общества о роли и значении интеллектуальной собственности и инновационной деятельности.</w:t>
      </w:r>
    </w:p>
    <w:p>
      <w:pPr>
        <w:spacing w:after="120"/>
        <w:ind w:firstLine="709"/>
        <w:jc w:val="both"/>
      </w:pPr>
      <w:r>
        <w:rPr>
          <w:rFonts w:ascii="Arial" w:cs="Arial" w:eastAsia="Arial" w:hAnsi="Arial"/>
          <w:sz w:val="24"/>
          <w:szCs w:val="24"/>
        </w:rPr>
        <w:t xml:space="preserve">Для решения указанных направлений будут реализовываться следующие меры: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критериев отнесения технологий к инновационным, энергосберегающим и энергоэффективным;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реестра инновационных, энергосберегающих и энергоэффективных технологий;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оказание услуг по поиску, отбору и маркетингу инновационных технологий;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комплексного анализа состояния инновационной деятельности в стране, способствующей становлению экономики;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и внесение предложений по адаптации отечественных статистических показателей в области инновационного развития к мировым стандартам;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внесение изменений в законодательство в сфере защиты интеллектуальной собственности, а также в Налоговый и Таможенный кодексы Кыргызской Республики, предусматривающие стимулирование и государственную поддержку предприятий, использующих инновационные, энергосберегающие и энергоэффективные технологии.</w:t>
      </w:r>
    </w:p>
    <w:p>
      <w:pPr>
        <w:spacing w:after="240" w:before="200"/>
        <w:jc w:val="center"/>
      </w:pPr>
      <w:r>
        <w:rPr>
          <w:rFonts w:ascii="Arial" w:cs="Arial" w:eastAsia="Arial" w:hAnsi="Arial"/>
          <w:b/>
          <w:bCs/>
          <w:sz w:val="32"/>
          <w:szCs w:val="32"/>
        </w:rPr>
        <w:t xml:space="preserve">Экологическая безопасность и 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120"/>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120"/>
        <w:ind w:firstLine="709"/>
        <w:jc w:val="both"/>
      </w:pPr>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реформа системы государственного управления охраной окружающей среды и природопользования; </w:t>
      </w:r>
    </w:p>
    <w:p>
      <w:pPr>
        <w:spacing w:after="120"/>
        <w:ind w:firstLine="709"/>
        <w:jc w:val="both"/>
      </w:pPr>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снижение вредного воздействия и минимизация негативных экологических последствий экономической деятельности; </w:t>
      </w:r>
    </w:p>
    <w:p>
      <w:pPr>
        <w:spacing w:after="120"/>
        <w:ind w:firstLine="709"/>
        <w:jc w:val="both"/>
      </w:pPr>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сохранение биоразнообразия и восстановление природных экосистем в условиях изменяющегося климата;</w:t>
      </w:r>
    </w:p>
    <w:p>
      <w:pPr>
        <w:spacing w:after="120"/>
        <w:ind w:firstLine="709"/>
        <w:jc w:val="both"/>
      </w:pPr>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продвижение принципов низкоуглеродного развития.</w:t>
      </w:r>
    </w:p>
    <w:p>
      <w:pPr>
        <w:spacing w:after="120"/>
        <w:ind w:firstLine="709"/>
        <w:jc w:val="both"/>
      </w:pPr>
      <w:r>
        <w:rPr>
          <w:rFonts w:ascii="Arial" w:cs="Arial" w:eastAsia="Arial" w:hAnsi="Arial"/>
          <w:b w:val="false"/>
          <w:bCs w:val="false"/>
          <w:sz w:val="24"/>
          <w:szCs w:val="24"/>
        </w:rPr>
        <w:t xml:space="preserve">Данные направления будут продвигаться через реализацию мероприятий, заложенных в НСУР.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Развитие реального сектора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Промышленность</w:t>
      </w:r>
      <w:hyperlink w:history="1" r:id="rId16_sy_gp5wbo_mrmzprmv">
        <w:r>
          <w:rPr>
            <w:rFonts w:ascii="Arial" w:cs="Arial" w:eastAsia="Arial" w:hAnsi="Arial"/>
            <w:color w:val="1D4ED8"/>
            <w:sz w:val="24"/>
            <w:szCs w:val="24"/>
            <w:u w:val="single"/>
          </w:rPr>
          <w:t xml:space="preserve">[6]</w:t>
        </w:r>
      </w:hyperlink>
      <w:r>
        <w:rPr>
          <w:rFonts w:ascii="Arial" w:cs="Arial" w:eastAsia="Arial" w:hAnsi="Arial"/>
          <w:sz w:val="24"/>
          <w:szCs w:val="24"/>
        </w:rPr>
        <w:t xml:space="preserve">. В среднесрочном периоде промышленная политика в Кыргызской Республике будет направлена на развитие приоритетных направлений данного сектора, а также на улучшение деятельности простаивающих и ввод новых производственных мощностей.</w:t>
      </w:r>
    </w:p>
    <w:p>
      <w:pPr>
        <w:spacing w:after="120"/>
        <w:ind w:firstLine="708"/>
        <w:jc w:val="both"/>
      </w:pPr>
      <w:r>
        <w:rPr>
          <w:rFonts w:ascii="Arial" w:cs="Arial" w:eastAsia="Arial" w:hAnsi="Arial"/>
          <w:sz w:val="24"/>
          <w:szCs w:val="24"/>
        </w:rPr>
        <w:t xml:space="preserve">Основными целями развития сектора промышленности являются достижение устойчивого развития горнодобывающей отрасли при рациональном использовании минерально-сырьевого потенциала и минимизации воздействия на окружающую среду, повышение потенциала предприятий обрабатывающей промышленности через внедрение ресурсосберегающих технологий, обеспечение энергетической безопасности Кыргызской Республики и развитие экспортного потенциала.</w:t>
      </w:r>
    </w:p>
    <w:p>
      <w:pPr>
        <w:spacing w:after="120"/>
        <w:ind w:firstLine="709"/>
        <w:jc w:val="both"/>
      </w:pPr>
      <w:r>
        <w:rPr>
          <w:rFonts w:ascii="Arial" w:cs="Arial" w:eastAsia="Arial" w:hAnsi="Arial"/>
          <w:sz w:val="24"/>
          <w:szCs w:val="24"/>
        </w:rPr>
        <w:t xml:space="preserve">В 2016-2018 годах темпы роста промышленной продукции прогнозируются в среднем за год на уровне 107,8 %, а без предприятий по разработке месторождения Кумтор - на уровне 108,3 %. Удельный вес промышленности в структуре производства ВВП составит в среднем                14,0 %.</w:t>
      </w:r>
    </w:p>
    <w:p>
      <w:pPr>
        <w:spacing w:after="120"/>
        <w:ind w:firstLine="708"/>
        <w:jc w:val="both"/>
      </w:pPr>
      <w:r>
        <w:rPr>
          <w:rFonts w:ascii="Arial" w:cs="Arial" w:eastAsia="Arial" w:hAnsi="Arial"/>
          <w:sz w:val="24"/>
          <w:szCs w:val="24"/>
        </w:rPr>
        <w:t xml:space="preserve">Прогнозируемый рост промышленного производства предполагается достигнуть за счёт увеличения темпов производства практически во всех отраслях. Такие ожидания связаны, прежде всего, с наметившейся тенденцией устойчивого развития экономики страны и повышением потребительского спроса на товары и услуги за счет реализуемых крупных инвестиционных проектов.</w:t>
      </w:r>
    </w:p>
    <w:p>
      <w:pPr>
        <w:spacing w:after="120"/>
        <w:ind w:firstLine="709"/>
        <w:jc w:val="both"/>
      </w:pPr>
      <w:r>
        <w:rPr>
          <w:rFonts w:ascii="Arial" w:cs="Arial" w:eastAsia="Arial" w:hAnsi="Arial"/>
          <w:sz w:val="24"/>
          <w:szCs w:val="24"/>
        </w:rPr>
        <w:t xml:space="preserve">Рост производства промышленной продукции прогнозируется достичь за счет: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повышения загрузки и эффективного использования действующих мощностей, возобновления работы простаивающих предприятий и ввода новых мощностей;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сохранения объемов добычи золота на месторождении Кумтор на уровне в 17,3-19,8 тонн (560-636,5 тыс. унций);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наращивания объемов на Бозымчак, Талды-Булак Левобережный;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полного освоения мощностей введенного нефтеперерабатывающего завода «Джунда»;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развития предприятий и отраслей, ориентированных на использование и переработку местного сырья, ресурсов и производство товаров с высокой добавленной стоимостью;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успешной реализации проекта «Технополис для текстильного и швейного производства», способного размещать более 35 промышленных объектов, с созданием 10 тыс. рабочих мест. Подобный проект эффективен для диверсификации промышленного производства и рынка сбыта продукции, т.к. может служить моделью промышленной зоны с привлечением новейших технологий;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обеспечения электроэнергией потребностей экономики и повышения устойчивости энергоснабжения потребителей за счет ввода и модернизации производственных мощностей энергосектора, развития возобновляемых источников энергии, повышения эффективности корпоративного управления в энергетических компаниях и обеспечения достоверности учета произведенной и распределенной электроэнергии;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развития пищеперерабатывающей отрасли - организации мини-цехов по переработке сельскохозяйственной продукции и улучшения управления алкогольной отраслью, ужесточения борьбы с контрабандой и незаконным оборотом алкогольной продукции на внутреннем рынке;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формирования гибкой политики дифференцированных таможенных платежей на сырье и готовую продукцию для промышленного сектора;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продвижения отечественных товаров на внешние рынки.</w:t>
      </w:r>
    </w:p>
    <w:p>
      <w:pPr>
        <w:spacing w:after="120"/>
        <w:ind w:firstLine="709"/>
        <w:jc w:val="both"/>
      </w:pPr>
      <w:r>
        <w:rPr>
          <w:rFonts w:ascii="Arial" w:cs="Arial" w:eastAsia="Arial" w:hAnsi="Arial"/>
          <w:sz w:val="24"/>
          <w:szCs w:val="24"/>
        </w:rPr>
        <w:t xml:space="preserve">Задачи инновационного развития и повышения конкурентоспособности отечественной промышленности будут решены за счет обеспечения ее квалифицированными кадрами путем подготовки в системе профессионально-технического образования.</w:t>
      </w:r>
    </w:p>
    <w:p>
      <w:pPr>
        <w:spacing w:after="120"/>
        <w:ind w:firstLine="709"/>
        <w:jc w:val="both"/>
      </w:pPr>
      <w:r>
        <w:rPr>
          <w:rFonts w:ascii="Arial" w:cs="Arial" w:eastAsia="Arial" w:hAnsi="Arial"/>
          <w:sz w:val="24"/>
          <w:szCs w:val="24"/>
        </w:rPr>
        <w:t xml:space="preserve">Рост промышленного производства в целом прогнозируется за счет увеличения объемов добычи полезных ископаемых в среднем на 4,4 %, обрабатывающего производства – на 8,6 %, энергетики – на 4,5 % и водоснабжения, очистки, обработки отходов и получения вторичного сырья – на 4,4 %.</w:t>
      </w:r>
    </w:p>
    <w:p>
      <w:pPr>
        <w:spacing w:after="120"/>
        <w:ind w:firstLine="709"/>
        <w:jc w:val="both"/>
      </w:pPr>
      <w:r>
        <w:rPr>
          <w:rFonts w:ascii="Arial" w:cs="Arial" w:eastAsia="Arial" w:hAnsi="Arial"/>
          <w:sz w:val="24"/>
          <w:szCs w:val="24"/>
        </w:rPr>
        <w:t xml:space="preserve">        Таблица 10</w:t>
      </w:r>
    </w:p>
    <w:p>
      <w:pPr>
        <w:spacing w:after="240" w:before="200"/>
        <w:jc w:val="center"/>
      </w:pPr>
      <w:r>
        <w:rPr>
          <w:rFonts w:ascii="Arial" w:cs="Arial" w:eastAsia="Arial" w:hAnsi="Arial"/>
          <w:b/>
          <w:bCs/>
          <w:sz w:val="32"/>
          <w:szCs w:val="32"/>
        </w:rPr>
        <w:t xml:space="preserve">Среднесрочный прогноз промышленности по секторам</w:t>
      </w:r>
    </w:p>
    <w:p>
      <w:pPr>
        <w:spacing w:after="120"/>
        <w:jc w:val="center"/>
      </w:pPr>
      <w:r>
        <w:rPr>
          <w:rFonts w:ascii="Arial" w:cs="Arial" w:eastAsia="Arial" w:hAnsi="Arial"/>
          <w:b/>
          <w:bCs/>
          <w:sz w:val="24"/>
          <w:szCs w:val="24"/>
        </w:rPr>
        <w:t xml:space="preserve"> на 2016-2018 годы </w:t>
      </w:r>
      <w:r>
        <w:rPr>
          <w:rFonts w:ascii="Arial" w:cs="Arial" w:eastAsia="Arial" w:hAnsi="Arial"/>
          <w:sz w:val="24"/>
          <w:szCs w:val="24"/>
        </w:rPr>
        <w:t xml:space="preserve">(в процентах)</w:t>
      </w:r>
    </w:p>
    <w:p>
      <w:pPr>
        <w:spacing w:after="12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5"/>
        <w:gridCol w:w="1310"/>
        <w:gridCol w:w="1320"/>
        <w:gridCol w:w="1189"/>
        <w:gridCol w:w="1525"/>
      </w:tblGrid>
      <w:tr>
        <w:tc>
          <w:tcPr>
            <w:tcW w:type="dxa" w:w="483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всего</w:t>
            </w:r>
          </w:p>
        </w:tc>
        <w:tc>
          <w:tcPr>
            <w:tcW w:type="dxa" w:w="131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106,8</w:t>
            </w:r>
          </w:p>
        </w:tc>
        <w:tc>
          <w:tcPr>
            <w:tcW w:type="dxa" w:w="132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108,5</w:t>
            </w:r>
          </w:p>
        </w:tc>
        <w:tc>
          <w:tcPr>
            <w:tcW w:type="dxa" w:w="118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108,2</w:t>
            </w:r>
          </w:p>
        </w:tc>
        <w:tc>
          <w:tcPr>
            <w:tcW w:type="dxa" w:w="152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107,8</w:t>
            </w:r>
          </w:p>
        </w:tc>
      </w:tr>
      <w:tr>
        <w:tc>
          <w:tcPr>
            <w:tcW w:type="dxa" w:w="4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без учета предприятий по разработке месторождения Кумтор</w:t>
            </w:r>
          </w:p>
        </w:tc>
        <w:tc>
          <w:tcPr>
            <w:tcW w:type="dxa" w:w="131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106,3</w:t>
            </w:r>
          </w:p>
        </w:tc>
        <w:tc>
          <w:tcPr>
            <w:tcW w:type="dxa" w:w="132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106,9</w:t>
            </w:r>
          </w:p>
        </w:tc>
        <w:tc>
          <w:tcPr>
            <w:tcW w:type="dxa" w:w="118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111,6</w:t>
            </w:r>
          </w:p>
        </w:tc>
        <w:tc>
          <w:tcPr>
            <w:tcW w:type="dxa" w:w="152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108,3</w:t>
            </w:r>
          </w:p>
        </w:tc>
      </w:tr>
      <w:tr>
        <w:tc>
          <w:tcPr>
            <w:tcW w:type="dxa" w:w="4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31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104,9</w:t>
            </w:r>
          </w:p>
        </w:tc>
        <w:tc>
          <w:tcPr>
            <w:tcW w:type="dxa" w:w="132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104,2</w:t>
            </w:r>
          </w:p>
        </w:tc>
        <w:tc>
          <w:tcPr>
            <w:tcW w:type="dxa" w:w="118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104,1</w:t>
            </w:r>
          </w:p>
        </w:tc>
        <w:tc>
          <w:tcPr>
            <w:tcW w:type="dxa" w:w="152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104,4</w:t>
            </w:r>
          </w:p>
        </w:tc>
      </w:tr>
      <w:tr>
        <w:tc>
          <w:tcPr>
            <w:tcW w:type="dxa" w:w="4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31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107,6</w:t>
            </w:r>
          </w:p>
        </w:tc>
        <w:tc>
          <w:tcPr>
            <w:tcW w:type="dxa" w:w="132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109,8</w:t>
            </w:r>
          </w:p>
        </w:tc>
        <w:tc>
          <w:tcPr>
            <w:tcW w:type="dxa" w:w="118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108,5</w:t>
            </w:r>
          </w:p>
        </w:tc>
        <w:tc>
          <w:tcPr>
            <w:tcW w:type="dxa" w:w="152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108,6</w:t>
            </w:r>
          </w:p>
        </w:tc>
      </w:tr>
      <w:tr>
        <w:tc>
          <w:tcPr>
            <w:tcW w:type="dxa" w:w="4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31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103,1</w:t>
            </w:r>
          </w:p>
        </w:tc>
        <w:tc>
          <w:tcPr>
            <w:tcW w:type="dxa" w:w="132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102,6</w:t>
            </w:r>
          </w:p>
        </w:tc>
        <w:tc>
          <w:tcPr>
            <w:tcW w:type="dxa" w:w="118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107,9</w:t>
            </w:r>
          </w:p>
        </w:tc>
        <w:tc>
          <w:tcPr>
            <w:tcW w:type="dxa" w:w="152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104,5</w:t>
            </w:r>
          </w:p>
        </w:tc>
      </w:tr>
      <w:tr>
        <w:tc>
          <w:tcPr>
            <w:tcW w:type="dxa" w:w="4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31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104,0</w:t>
            </w:r>
          </w:p>
        </w:tc>
        <w:tc>
          <w:tcPr>
            <w:tcW w:type="dxa" w:w="132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104,9</w:t>
            </w:r>
          </w:p>
        </w:tc>
        <w:tc>
          <w:tcPr>
            <w:tcW w:type="dxa" w:w="118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104,3</w:t>
            </w:r>
          </w:p>
        </w:tc>
        <w:tc>
          <w:tcPr>
            <w:tcW w:type="dxa" w:w="152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104,4</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Так, в добыче полезных ископаемых в 2016-2018 годах темп прироста производства прогнозируется в среднем на уровне 4,4 %, за счёт роста объемов добычи:</w:t>
      </w:r>
    </w:p>
    <w:p>
      <w:pPr>
        <w:spacing w:after="120"/>
        <w:ind w:firstLine="709"/>
        <w:jc w:val="both"/>
      </w:pPr>
      <w:r>
        <w:rPr>
          <w:rFonts w:ascii="Arial" w:cs="Arial" w:eastAsia="Arial" w:hAnsi="Arial"/>
          <w:sz w:val="24"/>
          <w:szCs w:val="24"/>
        </w:rPr>
        <w:t xml:space="preserve">(а) угля, лигнита - в среднем на 5,3 % в год, за счет ежегодного наращивания мощностей, определяемых объемом реализации кыргызских углей на внутреннем рынке при прохождении осенне-зимнего периода, с наращиванием поставок кыргызских углей на ТЭЦ города Бишкек до 800-1000 тыс. тонн к 2018 году;</w:t>
      </w:r>
    </w:p>
    <w:p>
      <w:pPr>
        <w:spacing w:after="120"/>
        <w:ind w:firstLine="709"/>
        <w:jc w:val="both"/>
      </w:pPr>
      <w:r>
        <w:rPr>
          <w:rFonts w:ascii="Arial" w:cs="Arial" w:eastAsia="Arial" w:hAnsi="Arial"/>
          <w:sz w:val="24"/>
          <w:szCs w:val="24"/>
        </w:rPr>
        <w:t xml:space="preserve">(б) нефти и газа - в среднем на 3,1 % в год за счет осуществления запланированных технологических мер ОАО «Кыргызнефтегаз» и работы инвесторов по вводу простаивающих эксплуатационных скважин с разделом продукции;</w:t>
      </w:r>
    </w:p>
    <w:p>
      <w:pPr>
        <w:spacing w:after="120"/>
        <w:ind w:firstLine="709"/>
        <w:jc w:val="both"/>
      </w:pPr>
      <w:r>
        <w:rPr>
          <w:rFonts w:ascii="Arial" w:cs="Arial" w:eastAsia="Arial" w:hAnsi="Arial"/>
          <w:sz w:val="24"/>
          <w:szCs w:val="24"/>
        </w:rPr>
        <w:t xml:space="preserve">(в) наращивание объемов производства природных песков, гранулы, крошки и порошка из камня; гальки, гравия, щебеня (дробленый камень), известняка и гипса, мрамора и камня известнякового - для отделки или строительства из-за наметившегося устойчивого роста объемов строительства, где прогнозируется прирост в среднем на 3 %.</w:t>
      </w:r>
    </w:p>
    <w:p>
      <w:pPr>
        <w:spacing w:after="120"/>
        <w:ind w:firstLine="709"/>
        <w:jc w:val="both"/>
      </w:pPr>
      <w:r>
        <w:rPr>
          <w:rFonts w:ascii="Arial" w:cs="Arial" w:eastAsia="Arial" w:hAnsi="Arial"/>
          <w:sz w:val="24"/>
          <w:szCs w:val="24"/>
        </w:rPr>
        <w:t xml:space="preserve">Для достижения развития данной отрасли среднесрочная политика будет сфокусирована на следующих приоритетных направлениях: (1) институциональное укрепление и создание эффективной системы государственного регулирования сферы недропользования; (2) увеличение вклада в социально-экономическое развитие страны и пополнение государственного бюджета при минимизации негативного воздействия на окружающую среду.</w:t>
      </w:r>
    </w:p>
    <w:p>
      <w:pPr>
        <w:spacing w:after="120"/>
        <w:ind w:firstLine="709"/>
        <w:jc w:val="both"/>
      </w:pPr>
      <w:r>
        <w:rPr>
          <w:rFonts w:ascii="Arial" w:cs="Arial" w:eastAsia="Arial" w:hAnsi="Arial"/>
          <w:sz w:val="24"/>
          <w:szCs w:val="24"/>
        </w:rPr>
        <w:t xml:space="preserve">Для продвижения этих направлений будут реализованы следующие меры: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реализация Стратегии Правительства Кыргызской Республики по развитию горнодобывающей промышленности Кыргызской Республики на 2015-2035 годы;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и принятие нормативного правового акта о порядке проведения ОВОС объектов горнодобывающей отрасли, который в тоже время будет регламентировать права населения и общественности на участие в процессе проведения ОВОС, на полное и своевременное информирование о планируемых работах;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и внесение пакета нормативных правовых актов по контролю за рациональным  использованием  природных  ресурсов;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принятие нормативных проектов правовых актов, совершенствующих процедуру проведения конкурсов и аукционов путем внесения изменений и дополнений в положения о порядке и условиях проведения аукциона на право пользования недрами и о порядке и условиях проведения конкурса на право пользования недрами, утвержденных постановлением Правительства Кыргызской Республики от 14 декабря 2012 года № 834;</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освещение процедуры проведения конкурсов и аукционов через СМИ;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 и внедрение прозрачного механизма контрольно-надзорных функций государства и усиление требований соблюдения национальных экологических требований с обязательным участием представителя гражданского сектора;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инвентаризации требований к ввозу техники и технологического оборудования, которые на сегодняшний день не используются в развитых странах;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условий для введения в эксплуатацию новых крупных и средних месторождений полезных ископаемых за период 2016-2018 годы: золотые и другие месторождения: Иштамберды, Куру-Тегерек, Шамбесай; олово-вольфрамовые месторождения: Трудовое, Уч-Кошкон, Кенсу; угольные месторождения: Туюк - Каргаша, Кара-Кече, Мин-Куш, Сулюкта поле 11, Мин-Теке, Кок-Кия, Кара-Тубинская площадь; месторождения нефти и газа: Майлисай, Майлисай-Ш, Майлисай – IV - Восточный избаскент, Избаскент, Чангырташ, Чигирчик, Сузак, Карагачи, Тамчи, Бешкент – Тогап -Ташрабат, Северный - Каракчикум, Майлису - 111, участки Центральный и Восточный, Майлису – II, участок Чарвак Чангырташского нефтяного месторождения;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восполнение минерально–сырьевой базы за счет притока прямых иностранных инвестиций в геологическую отрасль.</w:t>
      </w:r>
    </w:p>
    <w:p>
      <w:pPr>
        <w:spacing w:after="120"/>
        <w:ind w:firstLine="709"/>
        <w:jc w:val="both"/>
      </w:pPr>
      <w:r>
        <w:rPr>
          <w:rFonts w:ascii="Arial" w:cs="Arial" w:eastAsia="Arial" w:hAnsi="Arial"/>
          <w:sz w:val="24"/>
          <w:szCs w:val="24"/>
        </w:rPr>
        <w:t xml:space="preserve">В обрабатывающем производстве темп реального прироста производства прогнозируется в среднем на уровне 8,6 %, в основном за счет:</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стабильной работы предприятий по разработке месторождения Кумтор, где будет вестись работа на участке спуска в подземную зону, удельный вес которого в промышленности продолжает оставаться высоким, составив в среднем 39,3 %, а также за счет наращивания объемов на месторождениях Бозымчак, Талды-Булак Левобережный, активизации деятельности предприятий ОАО «Кыргызалтын» и ОАО «Кадамжайский сурьмяный комбинат», в результате в металлургическом производстве прогнозируется прирост в среднем на уровне 8,3 %;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увеличения объемов производства прочих неметаллических минеральных продуктов (строительных материалов) в среднем на 1,0 %, за счет превышения уровней по выпуску изделий для строительных целей: производства кирпича, блоков для полов, блоков несущих и изделий аналогичных керамических, неогнеупорных, цемента, гипса, изделий из бетона, ж/б для строительных целей, плит и аналогичных изделия из цемента, бетона или камня искусственного (брусчатка), песко-блока, конструкций строительных сборных из бетона, растворов строительных. Кроме того, за счет выхода на проектную мощность стекольного производства, стабильной работы ОсОО «Интергласс» (27 млн кв. м), активизации цементного производства;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увеличения объемов производства продуктов переработки сельхозпродуктов в среднем на 5,3 % за счет наращивания производства молочной продукции (в среднем рост на 2,3 %), масла растительного (на</w:t>
      </w:r>
    </w:p>
    <w:p>
      <w:pPr>
        <w:spacing w:after="120"/>
        <w:jc w:val="both"/>
      </w:pPr>
      <w:r>
        <w:rPr>
          <w:rFonts w:ascii="Arial" w:cs="Arial" w:eastAsia="Arial" w:hAnsi="Arial"/>
          <w:sz w:val="24"/>
          <w:szCs w:val="24"/>
        </w:rPr>
        <w:t xml:space="preserve">3 %), мукомольно-крупяной продукции (на 2,1 %), безалкогольных напитков (на 1,0 %), сахарной продукции (на 2,4 %), ликероводочной продукции (на 3,7 %), хлебопекарной продукции (на 1,1 %), макаронной продукции (на 2 %), пивоваренной продукции (на 6,3 %), винодельческой продукции (на 3 %), кондитерских изделий (на 1,0 %), мясной продукции (на 1,3 %), плодоовощной продукции (на 1 %). Достижению прогнозных показателей будет способствовать оказание государственной поддержки и экономическое стимулирование предприятий пищевой и перерабатывающей промышленности, осуществляющих промышленную переработку сельскохозяйственной продукции, в виде освобождения от уплаты налога на прибыль сроком на 3 года, а также предприятий, перерабатывающих отечественное сельскохозяйственное сырье (кроме используемой для производства подакцизной группы товаров), которые освобождены с 2012 года от налога на добавленную стоимость сроком на 6 лет. Кроме того, выделяются финансовые средства по льготному кредитованию предприятий, перерабатывающих сельскохозяйственное сырье, в рамках проекта «Финансирование сельского хозяйства»;</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увеличения объемов производства нефтепродуктов в среднем на 35,0 % за счет освоения производственных мощностей Кара-Балтинского и Токмокского нефтеперерабатывающих заводов.</w:t>
      </w:r>
    </w:p>
    <w:p>
      <w:pPr>
        <w:spacing w:after="120"/>
        <w:ind w:firstLine="851"/>
        <w:jc w:val="both"/>
      </w:pPr>
      <w:r>
        <w:rPr>
          <w:rFonts w:ascii="Arial" w:cs="Arial" w:eastAsia="Arial" w:hAnsi="Arial"/>
          <w:sz w:val="24"/>
          <w:szCs w:val="24"/>
        </w:rPr>
        <w:t xml:space="preserve">Также положительные темпы роста в обрабатывающем производстве обеспечат: текстильное производство; производство одежды и обуви, кожи и прочих кожаных изделий, где в среднем рост прогнозируется на 5,5 %, производство деревянных и бумажных изделий; полиграфическая деятельность – на 4,3 %; химическое производство – на 7,6 %; производство фармацевтической продукции – на 10,1 %, производство резиновых и пластмассовых изделий – на 2,3 %.</w:t>
      </w:r>
    </w:p>
    <w:p>
      <w:pPr>
        <w:spacing w:after="120"/>
        <w:ind w:firstLine="851"/>
        <w:jc w:val="both"/>
      </w:pPr>
      <w:r>
        <w:rPr>
          <w:rFonts w:ascii="Arial" w:cs="Arial" w:eastAsia="Arial" w:hAnsi="Arial"/>
          <w:sz w:val="24"/>
          <w:szCs w:val="24"/>
        </w:rPr>
        <w:t xml:space="preserve">В обеспечении (снабжение) электроэнергией, газом, паром и кондиционированным воздухом на среднесрочный период прогнозируется прирост в среднем на 4,5 %.</w:t>
      </w:r>
    </w:p>
    <w:p>
      <w:pPr>
        <w:spacing w:after="120"/>
        <w:ind w:firstLine="851"/>
        <w:jc w:val="both"/>
      </w:pPr>
      <w:r>
        <w:rPr>
          <w:rFonts w:ascii="Arial" w:cs="Arial" w:eastAsia="Arial" w:hAnsi="Arial"/>
          <w:sz w:val="24"/>
          <w:szCs w:val="24"/>
        </w:rPr>
        <w:t xml:space="preserve">Прогнозные показатели выработки электроэнергии на 2016-2018 годы рассчитаны с учетом приточности реки Нарын выше среднемноголетнего значения на 10 % и предусмотрены внутреннее потребление электроэнергии и снижение объемов экспорта электроэнергии в целях недопущения глубокой сработки Токтогульского водохранилища.</w:t>
      </w:r>
    </w:p>
    <w:p>
      <w:pPr>
        <w:spacing w:after="120"/>
        <w:ind w:firstLine="709"/>
        <w:jc w:val="both"/>
      </w:pPr>
      <w:r>
        <w:rPr>
          <w:rFonts w:ascii="Arial" w:cs="Arial" w:eastAsia="Arial" w:hAnsi="Arial"/>
          <w:sz w:val="24"/>
          <w:szCs w:val="24"/>
        </w:rPr>
        <w:t xml:space="preserve">Значимыми влияющими факторами на темпы производства и распределения электроэнергии, газа и воды будут: (1) эффективное использование водных ресурсов, (2) тарифная и (3) инвестиционная политика.</w:t>
      </w:r>
    </w:p>
    <w:p>
      <w:pPr>
        <w:spacing w:after="120"/>
        <w:ind w:firstLine="709"/>
        <w:jc w:val="both"/>
      </w:pPr>
      <w:r>
        <w:rPr>
          <w:rFonts w:ascii="Arial" w:cs="Arial" w:eastAsia="Arial" w:hAnsi="Arial"/>
          <w:sz w:val="24"/>
          <w:szCs w:val="24"/>
        </w:rPr>
        <w:t xml:space="preserve">Политика развития энергетического сектора будет сфокусирована на четырех приоритетных направлениях: (1) совершенствование регулирования развития энергетического сектора; (2) создание условий для стимулирования энергосбережения; (3) развитие возобновляемых источников энергии; (4) устойчивое развитие энергетического сектора через низкоуглеродную энергетику и соблюдение норм экологической безопасности.</w:t>
      </w:r>
    </w:p>
    <w:p>
      <w:pPr>
        <w:spacing w:after="120"/>
        <w:ind w:firstLine="709"/>
        <w:jc w:val="both"/>
      </w:pPr>
      <w:r>
        <w:rPr>
          <w:rFonts w:ascii="Arial" w:cs="Arial" w:eastAsia="Arial" w:hAnsi="Arial"/>
          <w:sz w:val="24"/>
          <w:szCs w:val="24"/>
        </w:rPr>
        <w:t xml:space="preserve">На период 2015-2017 годы предусмотрены реконструкция ТЭЦ города Бишкек; ввод в работу гидроагрегата № 2 Камбаратинской ГЭС-2; начало реконструкции Токтогульской ГЭС. Планируется модернизация ТЭЦ города Бишкек, с увеличением мощности на 300 МВт и дополнительной выработкой 1950 млн кВтч с использованием кыргызских углей, что позволит заменить износившееся оборудование, введенное 50 лет назад, для создания базовой, гарантированной электрической мощности, неподверженной водным режимам.</w:t>
      </w:r>
    </w:p>
    <w:p>
      <w:pPr>
        <w:spacing w:after="120"/>
        <w:ind w:firstLine="709"/>
        <w:jc w:val="both"/>
      </w:pPr>
      <w:r>
        <w:rPr>
          <w:rFonts w:ascii="Arial" w:cs="Arial" w:eastAsia="Arial" w:hAnsi="Arial"/>
          <w:sz w:val="24"/>
          <w:szCs w:val="24"/>
        </w:rPr>
        <w:t xml:space="preserve">Основной вклад в производство промышленной продукции ожидается со стороны Чуйской, Иссык-Кульской и Джалал-Абадской областей и города Бишкек. В 2018 году суммарный удельный вес данных регионов в валовом выпуске промышленной продукции составит 91,6 %.</w:t>
      </w:r>
    </w:p>
    <w:p>
      <w:pPr>
        <w:spacing w:after="120"/>
        <w:ind w:firstLine="709"/>
        <w:jc w:val="both"/>
      </w:pPr>
      <w:r>
        <w:rPr>
          <w:rFonts w:ascii="Arial" w:cs="Arial" w:eastAsia="Arial" w:hAnsi="Arial"/>
          <w:sz w:val="24"/>
          <w:szCs w:val="24"/>
        </w:rPr>
        <w:t xml:space="preserve">В среднесрочном периоде на развитие промышленности могут оказать следующие риски и угрозы</w:t>
      </w:r>
      <w:hyperlink w:history="1" r:id="rIdqqhukytujkxjl3axr7a9v">
        <w:r>
          <w:rPr>
            <w:rFonts w:ascii="Arial" w:cs="Arial" w:eastAsia="Arial" w:hAnsi="Arial"/>
            <w:color w:val="1D4ED8"/>
            <w:sz w:val="24"/>
            <w:szCs w:val="24"/>
            <w:u w:val="single"/>
          </w:rPr>
          <w:t xml:space="preserve">[u4]</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избыточная зависимость от импорта сырьевых и материальных ресурсов;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производства в экспортно-ориентированных отраслях экономики (принятие Россией и Казахстаном решения по разработке Программы по развитию импортозамещающих производств);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дефицит квалифицированных специалистов;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недостаток собственных оборотных средств, ограниченность доступа к коммерческим кредитам вследствие высоких процентных ставок, которые препятствуют обновлению основных фондов, освоению новых технологий. Это приводит к неконкурентоспособности многих отечественных товаров по цене и качеству;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дополнительные финансовые расходы, связанные с переходом на альтернативные источники энергии;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колебание рыночной конъюнктуры цен и валютных курсов;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интенсивный износ оборудования и отсутствие средств на его обновление;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конкурентоспособности продукции из-за высокой себестоимости по причине удорожания сырья и материалов, поставляемых по импорту;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противоречия между местным населением и недропользователями, приводящие к остановке запуска объектов промышленности;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добычи металла, из-за неподтверждения запасов содержания металла в руде, добываемого на месторождениях;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форс-мажорные обстоятельства: сокращение объемов поставки природного газа в республику, неритмичность подачи газа и электроэнергии на промышленные предприятия, непрерывный цикл работы которых полностью основан на использовании электроэнергии и газа;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спроса на стройматериалы из-за ухудшения платежеспособности населения и др.</w:t>
      </w:r>
    </w:p>
    <w:p>
      <w:pPr>
        <w:spacing w:after="120"/>
        <w:ind w:firstLine="709"/>
        <w:jc w:val="both"/>
      </w:pPr>
      <w:r>
        <w:rPr>
          <w:rFonts w:ascii="Arial" w:cs="Arial" w:eastAsia="Arial" w:hAnsi="Arial"/>
          <w:b/>
          <w:bCs/>
          <w:sz w:val="24"/>
          <w:szCs w:val="24"/>
        </w:rPr>
        <w:t xml:space="preserve">Сельское хозяйство</w:t>
      </w:r>
      <w:r>
        <w:rPr>
          <w:rFonts w:ascii="Arial" w:cs="Arial" w:eastAsia="Arial" w:hAnsi="Arial"/>
          <w:sz w:val="24"/>
          <w:szCs w:val="24"/>
        </w:rPr>
        <w:t xml:space="preserve">. Основной целью развития сельского хозяйства является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 (1) создание эффективных систем управления сельским хозяйством и подготовки кадров, предпосылок для концентрации сельскохозяйственного производства; (2) поддержка роста производства и экспорта агропромышленной продукции; (3) обеспечение сельскохозяйственного производства сервисными услугами; (4) повышение эффективности рационального использования водных и земельных ресурсов. Для продвижения указанных направлений будут реализованы меры, заложенные в Программе по переходу Кыргызской Республики к устойчивому развитию на 2013-2017 годы.</w:t>
      </w:r>
    </w:p>
    <w:p>
      <w:pPr>
        <w:spacing w:after="120"/>
        <w:ind w:firstLine="709"/>
        <w:jc w:val="both"/>
      </w:pPr>
      <w:r>
        <w:rPr>
          <w:rFonts w:ascii="Arial" w:cs="Arial" w:eastAsia="Arial" w:hAnsi="Arial"/>
          <w:sz w:val="24"/>
          <w:szCs w:val="24"/>
        </w:rPr>
        <w:t xml:space="preserve">В 2016-2018 годах прогнозируется увеличение реальных темпов роста сельского хозяйства в среднем на 2,0 % за счет принимаемых государством и частным сектором мер по увеличению урожайности растениеводства и увеличению продуктивности животноводства. Удельный вес объемов сельского хозяйства в структуре ВВП составит в среднем 14,1 %.</w:t>
      </w:r>
    </w:p>
    <w:p>
      <w:pPr>
        <w:spacing w:after="120"/>
        <w:jc w:val="right"/>
      </w:pPr>
      <w:r>
        <w:rPr>
          <w:rFonts w:ascii="Arial" w:cs="Arial" w:eastAsia="Arial" w:hAnsi="Arial"/>
          <w:sz w:val="24"/>
          <w:szCs w:val="24"/>
        </w:rPr>
        <w:t xml:space="preserve">Таблица 11</w:t>
      </w:r>
    </w:p>
    <w:p>
      <w:pPr>
        <w:spacing w:after="240" w:before="200"/>
        <w:jc w:val="center"/>
      </w:pPr>
      <w:r>
        <w:rPr>
          <w:rFonts w:ascii="Arial" w:cs="Arial" w:eastAsia="Arial" w:hAnsi="Arial"/>
          <w:b/>
          <w:bCs/>
          <w:sz w:val="32"/>
          <w:szCs w:val="32"/>
        </w:rPr>
        <w:t xml:space="preserve">Среднесрочный прогноз развития сельского хозяйства </w:t>
      </w:r>
    </w:p>
    <w:p>
      <w:pPr>
        <w:spacing w:after="240" w:before="200"/>
        <w:jc w:val="center"/>
      </w:pPr>
      <w:r>
        <w:rPr>
          <w:rFonts w:ascii="Arial" w:cs="Arial" w:eastAsia="Arial" w:hAnsi="Arial"/>
          <w:b/>
          <w:bCs/>
          <w:sz w:val="32"/>
          <w:szCs w:val="32"/>
        </w:rPr>
        <w:t xml:space="preserve">Кыргызской Республики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5"/>
        <w:gridCol w:w="1524"/>
        <w:gridCol w:w="1372"/>
        <w:gridCol w:w="1372"/>
        <w:gridCol w:w="1525"/>
      </w:tblGrid>
      <w:tr>
        <w:tc>
          <w:tcPr>
            <w:tcW w:type="dxa" w:w="4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Наименование отраслей</w:t>
            </w:r>
          </w:p>
        </w:tc>
        <w:tc>
          <w:tcPr>
            <w:tcW w:type="dxa" w:w="15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p>
            <w:pPr>
              <w:jc w:val="center"/>
            </w:pPr>
            <w:r>
              <w:rPr>
                <w:rFonts w:ascii="Arial" w:cs="Arial" w:eastAsia="Arial" w:hAnsi="Arial"/>
                <w:b/>
                <w:bCs/>
                <w:sz w:val="24"/>
                <w:szCs w:val="24"/>
              </w:rPr>
              <w:t xml:space="preserve">прогноз</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p>
            <w:pPr>
              <w:jc w:val="center"/>
            </w:pPr>
            <w:r>
              <w:rPr>
                <w:rFonts w:ascii="Arial" w:cs="Arial" w:eastAsia="Arial" w:hAnsi="Arial"/>
                <w:b/>
                <w:bCs/>
                <w:sz w:val="24"/>
                <w:szCs w:val="24"/>
              </w:rPr>
              <w:t xml:space="preserve">прогноз</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p>
            <w:pPr>
              <w:jc w:val="center"/>
            </w:pPr>
            <w:r>
              <w:rPr>
                <w:rFonts w:ascii="Arial" w:cs="Arial" w:eastAsia="Arial" w:hAnsi="Arial"/>
                <w:b/>
                <w:bCs/>
                <w:sz w:val="24"/>
                <w:szCs w:val="24"/>
              </w:rPr>
              <w:t xml:space="preserve">прогноз</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2016-2018 годы</w:t>
            </w:r>
          </w:p>
        </w:tc>
      </w:tr>
      <w:tr>
        <w:tc>
          <w:tcPr>
            <w:tcW w:type="dxa" w:w="4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5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233026,2</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253801,0</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276221,7</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5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120399,8</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131776,8</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144578,0</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5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108849,9</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118257,7</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127868,2</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3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среднесрочном периоде прогнозируется увеличение посевной площади зерновых культур с 640,0 тыс. га в 2016 году до 665,0 тыс. га - в 2018 году, сахарной свеклы, соответственно, с 7,0 тыс. га до 9,0 тыс. га, хлопка – с 23,0 тыс. га до 28,7 тыс. га, табака – с 2,5 тыс. га до 3,0 тыс. га, масличных культур – с 46,0 тыс. га до 47,0 тыс. га,  картофеля – с 81,0 тыс. га до 83,0 тыс. га, овощей – с 48,5 тыс. га до 52,0 тыс. га, бахчевых – с 10,7 тыс. га до 11,5 тыс. га, плодов и ягод – с 49,7 тыс. га до 50,0 тыс. га и виноградника – до 6,5 тыс. га, что будет способствовать среднегодовому росту продукции растениеводства на уровне 1,7 %.</w:t>
      </w:r>
    </w:p>
    <w:p>
      <w:pPr>
        <w:spacing w:after="120"/>
        <w:ind w:firstLine="709"/>
        <w:jc w:val="both"/>
      </w:pPr>
      <w:r>
        <w:rPr>
          <w:rFonts w:ascii="Arial" w:cs="Arial" w:eastAsia="Arial" w:hAnsi="Arial"/>
          <w:sz w:val="24"/>
          <w:szCs w:val="24"/>
        </w:rPr>
        <w:t xml:space="preserve">В животноводстве среднегодовой темп роста на уровне 2,3 % будет достигнут, в основном, за счет увеличения поголовья скота и повышения продуктивности сельскохозяйственных животных.</w:t>
      </w:r>
    </w:p>
    <w:p>
      <w:pPr>
        <w:spacing w:after="120"/>
        <w:ind w:firstLine="709"/>
        <w:jc w:val="both"/>
      </w:pPr>
      <w:r>
        <w:rPr>
          <w:rFonts w:ascii="Arial" w:cs="Arial" w:eastAsia="Arial" w:hAnsi="Arial"/>
          <w:sz w:val="24"/>
          <w:szCs w:val="24"/>
        </w:rPr>
        <w:t xml:space="preserve">Будут реализованы мероприятия для достижений реальных темпов роста сельскохозяйственной отрасли к концу 2018 года за счет: 1) систематического увеличения посевной площади сельскохозяйственных культур за счет разумного вовлечения в оборот неиспользуемой пашни, которая не требует для этого капитальных затрат для проведения мелиоративных работ; 2) стабилизации посевных площадей сельскохозяйственных культур, таких как масличные культуры, картофель, овощи, бахчевые культуры, и достижения увеличения их урожайности и валовых сборов за счет улучшения почвенного плодородия, с применением органических, минеральных и органоминеральных удобрений, а также использования сертифицированного посевного материала, улучшения сортов и гибридов; (3) продолжения обеспечения фермеров необходимой сельхозтехникой на льготных кредитных условиях, путем закупа сельхозтехники по лизингу; (4) решения проблемы обеспечения крестьян и фермеров республики азотными минеральными удобрениями; (5) увеличения объемов заготовки всех видов кормов, заготовки на одну условную голову крупного рогатого скота не менее 16-18 центнеров кормовых единиц; (6) привлечения прямых инвестиций и собственных средств в развитие отраслей животноводства; (7) эффективного использования льготных кредитных ресурсов.</w:t>
      </w:r>
    </w:p>
    <w:p>
      <w:pPr>
        <w:spacing w:after="120"/>
        <w:ind w:firstLine="709"/>
        <w:jc w:val="both"/>
      </w:pPr>
      <w:r>
        <w:rPr>
          <w:rFonts w:ascii="Arial" w:cs="Arial" w:eastAsia="Arial" w:hAnsi="Arial"/>
          <w:sz w:val="24"/>
          <w:szCs w:val="24"/>
        </w:rPr>
        <w:t xml:space="preserve">Возможные риски, влияющие на показатель роста производства продукции сельского хозяйства: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неблагоприятные природно-климатические условия;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недостаточная заготовка кормов на зимний период;</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неблагополучная эпизоотическая обстановка;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неэффективное использование направляемых льготных кредитных ресурсов государства.</w:t>
      </w:r>
    </w:p>
    <w:p>
      <w:pPr>
        <w:spacing w:after="120"/>
        <w:ind w:firstLine="709"/>
        <w:jc w:val="both"/>
      </w:pPr>
      <w:r>
        <w:rPr>
          <w:rFonts w:ascii="Arial" w:cs="Arial" w:eastAsia="Arial" w:hAnsi="Arial"/>
          <w:b/>
          <w:bCs/>
          <w:sz w:val="24"/>
          <w:szCs w:val="24"/>
        </w:rPr>
        <w:t xml:space="preserve">Строительство.</w:t>
      </w:r>
      <w:r>
        <w:rPr>
          <w:rFonts w:ascii="Arial" w:cs="Arial" w:eastAsia="Arial" w:hAnsi="Arial"/>
          <w:sz w:val="24"/>
          <w:szCs w:val="24"/>
        </w:rPr>
        <w:t xml:space="preserve"> Развитие строительного сектора экономики станет одним из значимых направлений, обеспечивающих устойчивый рост национальной экономики в среднесрочной перспективе за счет реализации крупных инвестиционных проектов, заложенных в Программе по переходу Кыргызской Республики к устойчивому развитию на 2013-2017 годы. Приоритетными направлениями развития данной отрасли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институциональной структуры, обеспечивающей разработку политики, направленной на поступательное увеличение экономической доступности населения к сейсмически безопасному комфортному жилью, при улучшении энергоэффективности и уменьшении эмиссии углерода зданиями;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потенциала профессионалов в области управления, проектирования, строительства и инновационных мероприятий, обеспечивающих снижение потребления энергии вводимыми зданиями к 2017 году на 30-40 % по сравнению с современным состоянием.</w:t>
      </w:r>
    </w:p>
    <w:p>
      <w:pPr>
        <w:spacing w:after="120"/>
        <w:ind w:firstLine="709"/>
        <w:jc w:val="both"/>
      </w:pPr>
      <w:r>
        <w:rPr>
          <w:rFonts w:ascii="Arial" w:cs="Arial" w:eastAsia="Arial" w:hAnsi="Arial"/>
          <w:sz w:val="24"/>
          <w:szCs w:val="24"/>
        </w:rPr>
        <w:t xml:space="preserve">Для реализации этих направлений будут приняты такие основные меры, как: создание в строительном секторе системы реализации политики повышения энергоэффективности, сейсмической безопасности и экономической доступности жилья для населения; разработка механизмов введения жестких санкций за несоблюдение норм и стандартов сейсмостойкости и энергоэффективности; разработка и введение в действие учебной программы «Строительный сектор для устойчивого развития» системы повышения квалификации специалистов государственного управления в строительстве и т.д.</w:t>
      </w:r>
    </w:p>
    <w:p>
      <w:pPr>
        <w:spacing w:after="120"/>
        <w:ind w:firstLine="709"/>
        <w:jc w:val="both"/>
      </w:pPr>
      <w:r>
        <w:rPr>
          <w:rFonts w:ascii="Arial" w:cs="Arial" w:eastAsia="Arial" w:hAnsi="Arial"/>
          <w:sz w:val="24"/>
          <w:szCs w:val="24"/>
        </w:rPr>
        <w:t xml:space="preserve">На развитие экономики и социальной сферы в 2016-2018 годах по всем источникам финансирования прогнозируется направить от 138,8 млрд сомов в 2016 году до 175,3 млрд сомов - в 2018 году инвестиций в основной капитал, что составляет в среднем ежегодное увеличение на                6,4 %.</w:t>
      </w:r>
    </w:p>
    <w:p>
      <w:pPr>
        <w:spacing w:after="120"/>
        <w:ind w:firstLine="709"/>
        <w:jc w:val="both"/>
      </w:pPr>
      <w:r>
        <w:rPr>
          <w:rFonts w:ascii="Arial" w:cs="Arial" w:eastAsia="Arial" w:hAnsi="Arial"/>
          <w:sz w:val="24"/>
          <w:szCs w:val="24"/>
        </w:rPr>
        <w:t xml:space="preserve">Структура капитальных вложений в 2018 году изменится в сторону снижения доли внутренних инвестиций до 51,2 % против 53,6 % в                     2016 году и, соответственно, увеличения доли внешних инвестиций с           46,4 % до 48,8 %.</w:t>
      </w:r>
    </w:p>
    <w:p>
      <w:pPr>
        <w:spacing w:after="120"/>
        <w:ind w:firstLine="709"/>
        <w:jc w:val="both"/>
      </w:pPr>
      <w:r>
        <w:rPr>
          <w:rFonts w:ascii="Arial" w:cs="Arial" w:eastAsia="Arial" w:hAnsi="Arial"/>
          <w:sz w:val="24"/>
          <w:szCs w:val="24"/>
        </w:rPr>
        <w:t xml:space="preserve">В среднесрочном периоде основную долю в структуре внутренних инвестиций будут занимать средства предприятий, организаций и населения, составив 91,8 %, а в структуре внешних инвестиций – иностранные кредиты – 74,4 %, прямые иностранные инвестиции – 20,5 %.</w:t>
      </w:r>
    </w:p>
    <w:p>
      <w:pPr>
        <w:spacing w:after="120"/>
        <w:ind w:firstLine="709"/>
        <w:jc w:val="both"/>
      </w:pPr>
      <w:r>
        <w:rPr>
          <w:rFonts w:ascii="Arial" w:cs="Arial" w:eastAsia="Arial" w:hAnsi="Arial"/>
          <w:sz w:val="24"/>
          <w:szCs w:val="24"/>
        </w:rPr>
        <w:t xml:space="preserve">В период с 2016 по 2018 годы общая сумма капитальных вложений за счет государственного бюджета составит 14,8 млрд сомов. Данные средства будут направлены на обеспечение устойчивого экономического развития регионов и республики, совершенствование оптимального планирования и распределения капитальных вложений на наиболее приоритетные инвестиционные проекты, с учетом концепции регионального развития и отраслевых экономических программ.</w:t>
      </w:r>
    </w:p>
    <w:p>
      <w:pPr>
        <w:spacing w:after="120"/>
        <w:ind w:firstLine="709"/>
        <w:jc w:val="both"/>
      </w:pPr>
      <w:r>
        <w:rPr>
          <w:rFonts w:ascii="Arial" w:cs="Arial" w:eastAsia="Arial" w:hAnsi="Arial"/>
          <w:sz w:val="24"/>
          <w:szCs w:val="24"/>
        </w:rPr>
        <w:t xml:space="preserve">В целом в 2016-2018 годах расходы на капитальные вложения за счет государственного бюджета в приоритетном порядке планируется направить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w:t>
      </w:r>
    </w:p>
    <w:p>
      <w:pPr>
        <w:spacing w:after="120"/>
        <w:ind w:firstLine="709"/>
        <w:jc w:val="both"/>
      </w:pPr>
      <w:r>
        <w:rPr>
          <w:rFonts w:ascii="Arial" w:cs="Arial" w:eastAsia="Arial" w:hAnsi="Arial"/>
          <w:sz w:val="24"/>
          <w:szCs w:val="24"/>
        </w:rPr>
        <w:t xml:space="preserve">Основными направлениями в строительстве в 2016-2018 годах будут объекты строительства индивидуального жилья; объекты транспортной магистрали; объекты энергетики (работы по строительству линий электропередачи, связывающих территорию страны в единое энергетическое кольцо). Учитывая ограниченность ресурсов, будут поддерживаться финансирование и развитие исключительно базовой инфраструктуры страны - дороги и коммуникации, энергетика, ирригация.</w:t>
      </w:r>
    </w:p>
    <w:p>
      <w:pPr>
        <w:spacing w:after="120"/>
        <w:ind w:firstLine="709"/>
        <w:jc w:val="both"/>
      </w:pPr>
      <w:r>
        <w:rPr>
          <w:rFonts w:ascii="Arial" w:cs="Arial" w:eastAsia="Arial" w:hAnsi="Arial"/>
          <w:sz w:val="24"/>
          <w:szCs w:val="24"/>
        </w:rPr>
        <w:t xml:space="preserve">В рамках НСУР будет продолжена реализации инвестиционных проектов в агропромышленном комплексе, в энергетике, в сфере транспорта и коммуникаций, в горнодобывающем секторе, которые внесут основной вклад в развитие строительной отрасли на прогнозируемый период.</w:t>
      </w:r>
    </w:p>
    <w:p>
      <w:pPr>
        <w:spacing w:after="120"/>
        <w:ind w:firstLine="709"/>
        <w:jc w:val="both"/>
      </w:pPr>
      <w:r>
        <w:rPr>
          <w:rFonts w:ascii="Arial" w:cs="Arial" w:eastAsia="Arial" w:hAnsi="Arial"/>
          <w:sz w:val="24"/>
          <w:szCs w:val="24"/>
        </w:rPr>
        <w:t xml:space="preserve">Запланированы следующие крупные инвестиционные проекты в энергетической отрасли: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строительство Верхне-Нарынского каскада ГЭС за счет средств Российской Федерации. Общая проектная стоимость проекта составляет 727,65 млн долл. США, освоение которых запланировано на 2013-2019 годы, в том числе в 2016-2018 годах - порядка 30 млрд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строительство линии электропередачи 500 кВ «Датка-Кемин» и подстанции 500 кВ «Датка» (1052,4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«Модернизация ТЭЦ города Бишкек» (6262,9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эффективности электрораспределительных сетей» (13,3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«Развитие сектора энергетики» (152,6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«Реабилитация сектора энергетики» (677,7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«Реабилитация сектора энергетики» (2 фаза – 2875,0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«Проект CASA-1000» (1571,5 млн сомов) (Всемирный банк);</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«Повышение подотчетности и надежности электроснабжения» (976,4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«Улучшение электроснабжения Аркинского массива Лейлекского района» (599,5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«Проект CASA-1000» (1804,5 млн сомов) (Исламский банк развития);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«Реабилитация Атбашинской ГЭС» (616,5 млн сомов), (Швейцарская Конфедерация) и др.</w:t>
      </w:r>
    </w:p>
    <w:p>
      <w:pPr>
        <w:spacing w:after="120"/>
        <w:ind w:firstLine="709"/>
        <w:jc w:val="both"/>
      </w:pPr>
      <w:r>
        <w:rPr>
          <w:rFonts w:ascii="Arial" w:cs="Arial" w:eastAsia="Arial" w:hAnsi="Arial"/>
          <w:sz w:val="24"/>
          <w:szCs w:val="24"/>
        </w:rPr>
        <w:t xml:space="preserve">В части работы по дорожно-транспортной инфраструктуре в 2016-2018 годах прогнозируются продолжение реализации следующих проектов: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«Строительство альтернативной дороги «Север-Юг» (8679,8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«Строительство альтернативной дороги «Север-Юг», вторая фаза (11616,1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«Реабилитация двух участков автодорог в Кыргызской Республике» (1054,8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«Второй и третий проекты «Транспортный коридор - 1 ЦАРЭС Дорога Бишкек – Нарын - Торугарт» (258,6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«Улучшение коридора ЦАРЭС 3» (автодорога Бишкек - Ош, участок Бишкек – Кара - Балта) Фаза 4 (1498,5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«Проект поддержания и реабилитации автодороги (альтернативная дорога Север-Юг)» (2123,7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«Бишкек – Нарын - Торугарт» (1412,1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«Реабилитация автомобильной дороги «Ош – Баткен - Исфана» (811,8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«Реконструкция автодороги «Тараз – Талас - Суусамыр - 3» (571,9 млн сомов);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«Улучшение основных международных дорог» (2496,4 млн сомов).</w:t>
      </w:r>
    </w:p>
    <w:p>
      <w:pPr>
        <w:spacing w:after="120"/>
        <w:ind w:firstLine="709"/>
        <w:jc w:val="both"/>
      </w:pPr>
      <w:r>
        <w:rPr>
          <w:rFonts w:ascii="Arial" w:cs="Arial" w:eastAsia="Arial" w:hAnsi="Arial"/>
          <w:sz w:val="24"/>
          <w:szCs w:val="24"/>
        </w:rPr>
        <w:t xml:space="preserve">Исходя из прогнозируемого объема освоения капитальных вложений, темп роста строительства в 2016-2018 годах ожидается в среднем на уровне 106,5 %. При этом, удельный вес строительной отрасли возрастет с 7,7 % к ВВП в 2016 году до 8,7 % к ВВП - в 2018 году. Влияние строительного сектора на темпы экономического роста в прогнозируемый период будет положительным и составит в среднем 0,50 процентного пункта.</w:t>
      </w:r>
    </w:p>
    <w:p>
      <w:pPr>
        <w:spacing w:after="120"/>
        <w:ind w:firstLine="709"/>
        <w:jc w:val="right"/>
      </w:pPr>
      <w:r>
        <w:rPr>
          <w:rFonts w:ascii="Arial" w:cs="Arial" w:eastAsia="Arial" w:hAnsi="Arial"/>
          <w:sz w:val="24"/>
          <w:szCs w:val="24"/>
        </w:rPr>
        <w:t xml:space="preserve">Таблица 12</w:t>
      </w:r>
    </w:p>
    <w:p>
      <w:pPr>
        <w:spacing w:after="240" w:before="200"/>
        <w:jc w:val="center"/>
      </w:pPr>
      <w:r>
        <w:rPr>
          <w:rFonts w:ascii="Arial" w:cs="Arial" w:eastAsia="Arial" w:hAnsi="Arial"/>
          <w:b/>
          <w:bCs/>
          <w:sz w:val="32"/>
          <w:szCs w:val="32"/>
        </w:rPr>
        <w:t xml:space="preserve">Среднесрочный прогноз развития строительства </w:t>
      </w:r>
    </w:p>
    <w:p>
      <w:pPr>
        <w:spacing w:after="240" w:before="200"/>
        <w:jc w:val="center"/>
      </w:pPr>
      <w:r>
        <w:rPr>
          <w:rFonts w:ascii="Arial" w:cs="Arial" w:eastAsia="Arial" w:hAnsi="Arial"/>
          <w:b/>
          <w:bCs/>
          <w:sz w:val="32"/>
          <w:szCs w:val="32"/>
        </w:rPr>
        <w:t xml:space="preserve">Кыргызской Республики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1"/>
        <w:gridCol w:w="1390"/>
        <w:gridCol w:w="1389"/>
        <w:gridCol w:w="1389"/>
        <w:gridCol w:w="1378"/>
      </w:tblGrid>
      <w:tr>
        <w:tc>
          <w:tcPr>
            <w:tcW w:type="dxa" w:w="46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w:t>
            </w:r>
          </w:p>
        </w:tc>
        <w:tc>
          <w:tcPr>
            <w:tcW w:type="dxa" w:w="13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2016 год,</w:t>
            </w:r>
          </w:p>
          <w:p>
            <w:pPr>
              <w:jc w:val="center"/>
            </w:pPr>
            <w:r>
              <w:rPr>
                <w:rFonts w:ascii="Arial" w:cs="Arial" w:eastAsia="Arial" w:hAnsi="Arial"/>
                <w:b/>
                <w:bCs/>
                <w:sz w:val="24"/>
                <w:szCs w:val="24"/>
              </w:rPr>
              <w:t xml:space="preserve">прогноз</w:t>
            </w:r>
          </w:p>
        </w:tc>
        <w:tc>
          <w:tcPr>
            <w:tcW w:type="dxa" w:w="138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2017 год,</w:t>
            </w:r>
          </w:p>
          <w:p>
            <w:pPr>
              <w:jc w:val="center"/>
            </w:pPr>
            <w:r>
              <w:rPr>
                <w:rFonts w:ascii="Arial" w:cs="Arial" w:eastAsia="Arial" w:hAnsi="Arial"/>
                <w:b/>
                <w:bCs/>
                <w:sz w:val="24"/>
                <w:szCs w:val="24"/>
              </w:rPr>
              <w:t xml:space="preserve">прогноз</w:t>
            </w:r>
          </w:p>
        </w:tc>
        <w:tc>
          <w:tcPr>
            <w:tcW w:type="dxa" w:w="138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2018 год,</w:t>
            </w:r>
          </w:p>
          <w:p>
            <w:pPr>
              <w:jc w:val="center"/>
            </w:pPr>
            <w:r>
              <w:rPr>
                <w:rFonts w:ascii="Arial" w:cs="Arial" w:eastAsia="Arial" w:hAnsi="Arial"/>
                <w:b/>
                <w:bCs/>
                <w:sz w:val="24"/>
                <w:szCs w:val="24"/>
              </w:rPr>
              <w:t xml:space="preserve">прогноз</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2016-2018 годы</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 </w:t>
            </w:r>
          </w:p>
          <w:p>
            <w:pPr>
              <w:jc w:val="left"/>
            </w:pPr>
            <w:r>
              <w:rPr>
                <w:rFonts w:ascii="Arial" w:cs="Arial" w:eastAsia="Arial" w:hAnsi="Arial"/>
                <w:b/>
                <w:bCs/>
                <w:sz w:val="24"/>
                <w:szCs w:val="24"/>
              </w:rPr>
              <w:t xml:space="preserve">млн сомов</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138788,7</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154036,5</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175290,5</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106,4</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 млн сомов</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74373,4</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80811,6</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89765,6</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105,1</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101,7</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105,1</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 млн сомов</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64415,3</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73224,9</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85524,9</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110,6</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106,4</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110,5</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строительства, млн сомов</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123424,2</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139198,8</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160522,2</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3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3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106,5</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региональном разрезе рост объемов строительства прогнозируется во всех регионах за счет ввода ранее начатых социальных объектов, активизации и реализации инвестиционных проектов в транспортной, горнодобывающей и энергетической отраслях экономики. Основную долю будут занимать город Бишкек (35,7 %), Чуйская (20,1 %), Иссык-Кульская (14,8 %), и Джалал-Абадская (11,5 %) области.</w:t>
      </w:r>
    </w:p>
    <w:p>
      <w:pPr>
        <w:spacing w:after="120"/>
        <w:ind w:firstLine="709"/>
        <w:jc w:val="both"/>
      </w:pPr>
      <w:r>
        <w:rPr>
          <w:rFonts w:ascii="Arial" w:cs="Arial" w:eastAsia="Arial" w:hAnsi="Arial"/>
          <w:sz w:val="24"/>
          <w:szCs w:val="24"/>
        </w:rPr>
        <w:t xml:space="preserve">Объем валовых накоплений в основной капитал, исходя из прогнозируемого уровня капитальных вложений, номинально возрастет на 30,7 % (со 176,8 млрд сомов в 2016 году до 231,0 млрд сомов - в 2018 году). Их удельный вес составит 36,9 % к ВВП в среднем за год, а среднегодовой темп реального роста прогнозируется на уровне 5,3 %. Рост валовых инвестиций в 2016-2018 годах должен стать надежным источником прогнозируемого экономического роста на уровне 4,4 % в среднем за год. При этом удельный вес частных инвестиций возрастет с 29,1 % в 2016 году до 30,8 % - в 2018 году от общего объема ВВП, а доля государственных инвестиций, включая Программу государственных инвестиций (далее – ПГИ),</w:t>
      </w:r>
      <w:r>
        <w:rPr>
          <w:rFonts w:ascii="Arial" w:cs="Arial" w:eastAsia="Arial" w:hAnsi="Arial"/>
          <w:sz w:val="24"/>
          <w:szCs w:val="24"/>
        </w:rPr>
        <w:t xml:space="preserve">снизится с 7,2 % в 2016 году до 6,6 % - в 2018 году. Ресурсы ПГИ будут, в основном, направляться на финансирование проектов энергетики, транспортной инфраструктуры, сельского хозяйства, включая ирригацию и сельское водоснабжение.</w:t>
      </w:r>
    </w:p>
    <w:p>
      <w:pPr>
        <w:spacing w:after="120"/>
        <w:ind w:firstLine="709"/>
        <w:jc w:val="both"/>
      </w:pPr>
      <w:r>
        <w:rPr>
          <w:rFonts w:ascii="Arial" w:cs="Arial" w:eastAsia="Arial" w:hAnsi="Arial"/>
          <w:sz w:val="24"/>
          <w:szCs w:val="24"/>
        </w:rPr>
        <w:t xml:space="preserve">В среднесрочном периоде на развитие строительства могут оказать влияние следующие риски и угрозы: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усиление негативного влияния инфляционных процессов на строительные материалы;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инвестиций в основной капитал;</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доходов населения строительства/приобретения жилья;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приостановка строящихся объектов и несвоевременный ввод в эксплуатацию жилья и т.д.</w:t>
      </w:r>
    </w:p>
    <w:p>
      <w:pPr>
        <w:spacing w:after="120"/>
        <w:ind w:firstLine="709"/>
        <w:jc w:val="both"/>
      </w:pPr>
      <w:r>
        <w:rPr>
          <w:rFonts w:ascii="Arial" w:cs="Arial" w:eastAsia="Arial" w:hAnsi="Arial"/>
          <w:b/>
          <w:bCs/>
          <w:sz w:val="24"/>
          <w:szCs w:val="24"/>
        </w:rPr>
        <w:t xml:space="preserve">Сфера услуг</w:t>
      </w:r>
      <w:r>
        <w:rPr>
          <w:rFonts w:ascii="Arial" w:cs="Arial" w:eastAsia="Arial" w:hAnsi="Arial"/>
          <w:sz w:val="24"/>
          <w:szCs w:val="24"/>
        </w:rPr>
        <w:t xml:space="preserve"> в среднесрочной перспективе, по-прежнему, будет занимать основную долю в структуре ВВП (49,7 %). Реальный рост всех видов услуг в среднем на 3,8 % будет поддерживаться реальным ростом денежных доходов населения, прогнозируемых в пределах 7,5 % в среднем за год.</w:t>
      </w:r>
    </w:p>
    <w:p>
      <w:pPr>
        <w:spacing w:after="120"/>
        <w:ind w:firstLine="709"/>
        <w:jc w:val="both"/>
      </w:pPr>
      <w:r>
        <w:rPr>
          <w:rFonts w:ascii="Arial" w:cs="Arial" w:eastAsia="Arial" w:hAnsi="Arial"/>
          <w:sz w:val="24"/>
          <w:szCs w:val="24"/>
        </w:rPr>
        <w:t xml:space="preserve">Политика в секторе услуг на среднесрочную перспективу будет направлена на улучшение доступности жизненно необходимых услуг и расширения их на всей территории Кыргызской Республики, включая услуги связи, транспорта, услуги микрофинансовых организаций, торговли и других. Будут приниматься меры по снижению уровня неофициальной деятельности для увеличения налоговых сборов в этой сфере.</w:t>
      </w:r>
    </w:p>
    <w:p>
      <w:pPr>
        <w:spacing w:after="120"/>
        <w:ind w:firstLine="709"/>
        <w:jc w:val="both"/>
      </w:pPr>
      <w:r>
        <w:rPr>
          <w:rFonts w:ascii="Arial" w:cs="Arial" w:eastAsia="Arial" w:hAnsi="Arial"/>
          <w:sz w:val="24"/>
          <w:szCs w:val="24"/>
        </w:rPr>
        <w:t xml:space="preserve">Создаваемые благоприятные условия для бизнеса в республике будут способствовать развитию сектора услуг, где рост, в основном, будет обеспечен за счет расширения рыночных услуг, удельный вес которых увеличится с 75,9 % в 2015 году до 77,1 % - в 2018 году. Стимулирующим фактором расширения рыночных услуг станет оптимизация и сокращение количества государственных услуг.</w:t>
      </w:r>
    </w:p>
    <w:p>
      <w:pPr>
        <w:spacing w:after="120"/>
        <w:jc w:val="right"/>
      </w:pPr>
      <w:r>
        <w:rPr>
          <w:rFonts w:ascii="Arial" w:cs="Arial" w:eastAsia="Arial" w:hAnsi="Arial"/>
          <w:sz w:val="24"/>
          <w:szCs w:val="24"/>
        </w:rPr>
        <w:t xml:space="preserve">Таблица 13</w:t>
      </w:r>
    </w:p>
    <w:p>
      <w:pPr>
        <w:spacing w:after="240" w:before="200"/>
        <w:jc w:val="center"/>
      </w:pPr>
      <w:r>
        <w:rPr>
          <w:rFonts w:ascii="Arial" w:cs="Arial" w:eastAsia="Arial" w:hAnsi="Arial"/>
          <w:b/>
          <w:bCs/>
          <w:sz w:val="32"/>
          <w:szCs w:val="32"/>
        </w:rPr>
        <w:t xml:space="preserve">Среднесрочный прогноз развития сферы услуг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7"/>
        <w:gridCol w:w="1338"/>
        <w:gridCol w:w="1327"/>
        <w:gridCol w:w="1292"/>
        <w:gridCol w:w="1383"/>
      </w:tblGrid>
      <w:tr>
        <w:tc>
          <w:tcPr>
            <w:tcW w:type="dxa" w:w="483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2016 год, прогноз</w:t>
            </w:r>
          </w:p>
        </w:tc>
        <w:tc>
          <w:tcPr>
            <w:tcW w:type="dxa" w:w="132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2017 год, прогноз</w:t>
            </w:r>
          </w:p>
        </w:tc>
        <w:tc>
          <w:tcPr>
            <w:tcW w:type="dxa" w:w="129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2018 год, прогноз</w:t>
            </w:r>
          </w:p>
        </w:tc>
        <w:tc>
          <w:tcPr>
            <w:tcW w:type="dxa" w:w="13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2016-2018 годы</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Сфера услуг, темп реального роста в %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102,6</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103,8</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105,1</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103,8</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Оптовая и розничная торговля; ремонт автомобилей и мотоциклов,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105,1</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106,2</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108,1</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106,5</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Транспортная деятельность и хранение грузов,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102,0</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106,6</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108,6</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105,7</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Гостиницы и рестораны,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105,4</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106,2</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109,8</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107,1</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Информация и связь,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Финансовое посредничество и страхование,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100,5</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100,9</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101,6</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Операции с недвижимым имуществом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100,5</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101,4</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Профессиональная, научная и техническая деятельность,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101,1</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101,3</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101,6</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101,3</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Административная и вспомогательная деятельность,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101,1</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101,0</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101,4</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101,2</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98,6</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100,2</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100,2</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99,7</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Образование,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101,7</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101,8</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101,8</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101,8</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Здравоохранение и социальное обслуживание населения,</w:t>
            </w:r>
            <w:r>
              <w:rPr>
                <w:rFonts w:ascii="Arial" w:cs="Arial" w:eastAsia="Arial" w:hAnsi="Arial"/>
                <w:sz w:val="24"/>
                <w:szCs w:val="24"/>
              </w:rPr>
              <w:t xml:space="preserve">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101,7</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101,8</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101,8</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101,8</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Искусство, развлечения и отдых,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102,0</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101,3</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102,0</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101,8</w:t>
            </w:r>
          </w:p>
        </w:tc>
      </w:tr>
      <w:tr>
        <w:tc>
          <w:tcPr>
            <w:tcW w:type="dxa" w:w="48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Прочая обслуживающая деятельность, темп реального роста, в %</w:t>
            </w:r>
          </w:p>
        </w:tc>
        <w:tc>
          <w:tcPr>
            <w:tcW w:type="dxa" w:w="13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101,1</w:t>
            </w:r>
          </w:p>
        </w:tc>
        <w:tc>
          <w:tcPr>
            <w:tcW w:type="dxa" w:w="132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100,9</w:t>
            </w:r>
          </w:p>
        </w:tc>
        <w:tc>
          <w:tcPr>
            <w:tcW w:type="dxa" w:w="12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101,5</w:t>
            </w:r>
          </w:p>
        </w:tc>
        <w:tc>
          <w:tcPr>
            <w:tcW w:type="dxa" w:w="13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101,2</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Основными источниками роста рыночных услуг будут торговля, услуги транспорта и связи, удельный вес которых составит в среднем                   55,1 % в общем объёме сферы услуг.</w:t>
      </w:r>
    </w:p>
    <w:p>
      <w:pPr>
        <w:spacing w:after="120"/>
        <w:ind w:firstLine="709"/>
        <w:jc w:val="both"/>
      </w:pPr>
      <w:r>
        <w:rPr>
          <w:rFonts w:ascii="Arial" w:cs="Arial" w:eastAsia="Arial" w:hAnsi="Arial"/>
          <w:sz w:val="24"/>
          <w:szCs w:val="24"/>
        </w:rPr>
        <w:t xml:space="preserve">Среднегодовой темп реального роста торговли (с удельным весом 35,1 % в общем объёме сферы услуг) прогнозируется на уровне 6,5 %. Для сокращения наличия неофициальной торговли, составляющей порядка               70 % от общего объёма торговли, будут решаться такие основные задачи, как: (1) совершенствование нормативно-правовой базы; (2) всемерное обеспечение прав граждан на безопасность и качество товаров; (3) обеспечение для населения экономической доступности потребительского рынка в цивилизованных формах его организации; (4) повышение статуса и компетенции уполномоченных государственных органов и органов местного самоуправления в сфере торговли; (5) установление государственно-частного партнерства для расширения торговли и сокращения неофициальной деятельности.</w:t>
      </w:r>
    </w:p>
    <w:p>
      <w:pPr>
        <w:spacing w:after="120"/>
        <w:ind w:firstLine="709"/>
        <w:jc w:val="both"/>
      </w:pPr>
      <w:r>
        <w:rPr>
          <w:rFonts w:ascii="Arial" w:cs="Arial" w:eastAsia="Arial" w:hAnsi="Arial"/>
          <w:sz w:val="24"/>
          <w:szCs w:val="24"/>
        </w:rPr>
        <w:t xml:space="preserve">Другим важным направлением развития рыночных услуг является развитие транспортных услуг, где прогнозируется реальный рост на 5,7 % в среднем за год со средним удельным весом 13,4 % в общем объёме сферы услуг.</w:t>
      </w:r>
    </w:p>
    <w:p>
      <w:pPr>
        <w:spacing w:after="120"/>
        <w:ind w:firstLine="709"/>
        <w:jc w:val="both"/>
      </w:pPr>
      <w:r>
        <w:rPr>
          <w:rFonts w:ascii="Arial" w:cs="Arial" w:eastAsia="Arial" w:hAnsi="Arial"/>
          <w:sz w:val="24"/>
          <w:szCs w:val="24"/>
        </w:rPr>
        <w:t xml:space="preserve">Учитывая, что основным видом транспорта, используемым в республике, является автомобильный транспорт (дорожная сеть обеспечивает до 95 % всех внутренних пассажирских и грузовых автомобильных перевозок), основными приоритетами в среднесрочной перспективе будут: (а) удовлетворение потребностей населения в пассажирских и грузовых транспортных перевозках; (б) обновление и пополнение парка автотранспортных средств; (в) реабилитация и поддержание дорожной сети.</w:t>
      </w:r>
    </w:p>
    <w:p>
      <w:pPr>
        <w:spacing w:after="120"/>
        <w:ind w:firstLine="709"/>
        <w:jc w:val="both"/>
      </w:pPr>
      <w:r>
        <w:rPr>
          <w:rFonts w:ascii="Arial" w:cs="Arial" w:eastAsia="Arial" w:hAnsi="Arial"/>
          <w:sz w:val="24"/>
          <w:szCs w:val="24"/>
        </w:rPr>
        <w:t xml:space="preserve">Основными задачами будут: (1) реабилитация шести маршрутов автомобильных дорог, представляющих собой международные транспортные коридоры; (2) сохранение и улучшение внутренней сети автомобильных дорог; (3) обеспечение всех населенных пунктов республики автобусным маршрутным сообщением; (4) обеспечение транспортной независимости страны за счет строительства объездных дорог в обход территорий соседних государств.</w:t>
      </w:r>
    </w:p>
    <w:p>
      <w:pPr>
        <w:spacing w:after="120"/>
        <w:ind w:firstLine="709"/>
        <w:jc w:val="both"/>
      </w:pPr>
      <w:r>
        <w:rPr>
          <w:rFonts w:ascii="Arial" w:cs="Arial" w:eastAsia="Arial" w:hAnsi="Arial"/>
          <w:sz w:val="24"/>
          <w:szCs w:val="24"/>
        </w:rPr>
        <w:t xml:space="preserve">Внедрение механизмов государственно-частного партнерства станет базовой основой политики в сфере развития транспортных услуг.</w:t>
      </w:r>
    </w:p>
    <w:p>
      <w:pPr>
        <w:spacing w:after="120"/>
        <w:ind w:firstLine="709"/>
        <w:jc w:val="both"/>
      </w:pPr>
      <w:r>
        <w:rPr>
          <w:rFonts w:ascii="Arial" w:cs="Arial" w:eastAsia="Arial" w:hAnsi="Arial"/>
          <w:sz w:val="24"/>
          <w:szCs w:val="24"/>
        </w:rPr>
        <w:t xml:space="preserve">Реальный рост объемов услуг связи (со средним удельным весом           6,6 % в общем объёме сферы услуг) прогнозируется в среднем на уровне 1,0 %, который будет достигаться расширением услуг сотовой связи, доступа к интернету, внедрением цифрового телевещания; расширением других услуг в области связи и информатизации. Умеренный рост обусловлен насыщением рынка коммуникационными услугами.</w:t>
      </w:r>
    </w:p>
    <w:p>
      <w:pPr>
        <w:spacing w:after="120"/>
        <w:ind w:firstLine="709"/>
        <w:jc w:val="both"/>
      </w:pPr>
      <w:r>
        <w:rPr>
          <w:rFonts w:ascii="Arial" w:cs="Arial" w:eastAsia="Arial" w:hAnsi="Arial"/>
          <w:sz w:val="24"/>
          <w:szCs w:val="24"/>
        </w:rPr>
        <w:t xml:space="preserve">Кыргызстан активно расширяет свое присутствие в перспективных сегментах телекоммуникационного рынка. Создаются возможности предоставления населению высокотехнологичных, доступных информационно-коммуникационных услуг. Развитие телекоммуникационной инфраструктуры в прогнозируемом периоде станет одним из важнейших благоприятных факторов подъема национальной экономики и роста деловой активности населения.</w:t>
      </w:r>
    </w:p>
    <w:p>
      <w:pPr>
        <w:spacing w:after="120"/>
        <w:ind w:firstLine="709"/>
        <w:jc w:val="both"/>
      </w:pPr>
      <w:r>
        <w:rPr>
          <w:rFonts w:ascii="Arial" w:cs="Arial" w:eastAsia="Arial" w:hAnsi="Arial"/>
          <w:sz w:val="24"/>
          <w:szCs w:val="24"/>
        </w:rPr>
        <w:t xml:space="preserve">Услуги гостиниц и ресторанов являются одним из основных направлений поддержания устойчивого роста рыночных услуг, реальный рост которых прогнозируется в среднем на уровне 7,1 %.</w:t>
      </w:r>
    </w:p>
    <w:p>
      <w:pPr>
        <w:spacing w:after="120"/>
        <w:ind w:firstLine="709"/>
        <w:jc w:val="both"/>
      </w:pPr>
      <w:r>
        <w:rPr>
          <w:rFonts w:ascii="Arial" w:cs="Arial" w:eastAsia="Arial" w:hAnsi="Arial"/>
          <w:sz w:val="24"/>
          <w:szCs w:val="24"/>
        </w:rPr>
        <w:t xml:space="preserve">Также в сфере услуг основным направлением будет развитие туристической индустрии, сфокусированное на следующих приоритетных направлениях: (1) повышение эффективности государственного регулирования развития туристской индустрии; (2) содействие повышению качества и диверсификации туристских услуг и продуктов.</w:t>
      </w:r>
    </w:p>
    <w:p>
      <w:pPr>
        <w:spacing w:after="120"/>
        <w:ind w:firstLine="709"/>
        <w:jc w:val="both"/>
      </w:pPr>
      <w:r>
        <w:rPr>
          <w:rFonts w:ascii="Arial" w:cs="Arial" w:eastAsia="Arial" w:hAnsi="Arial"/>
          <w:sz w:val="24"/>
          <w:szCs w:val="24"/>
        </w:rPr>
        <w:t xml:space="preserve">Для реализации этих направлений будут приняты такие меры, как повышение потенциала уполномоченного органа, ответственного за разработку и реализацию государственной политики в туризме; разработка и утверждение номенклатуры видов туризма; разработка и утверждение упрощенной процедуры выделения и использования земельных участков для развития и строительства объектов туризма; введение миграционных карт; разработка и запуск единого информационного туристического портала, содержащего информацию о бронировании мест в средствах размещения, доступных турах, карты, планировщик тура, отзывы туристов и форумы, и т. д.; разработка и ежегодная публикация каталога событий, участие в которых может заинтересовать иностранных туристов; разработка и издание печатных информационных материалов о туристических ресурсах Кыргызской Республики, ориентированных на конкретные целевые рынки; закупка интерактивных информационных систем для установки в аэропортах, приграничных пропускных пунктах; внесение корректировок в проекты реконструкции и строительства дорог на предмет учета интересов развития туризма (дороги до туристических объектов); разработка областных и районных программ развития придорожной инфраструктуры: санузлы, объекты сервисного обслуживания (пункты общественного питания, технического обслуживания, медицинские пункты), знаки и указатели на кыргызском, русском и английском языках; создание 2 туристических информационных центров (ТИЦ); проведение переговоров по исключению национальных авиаперевозчиков из «черного списка» ЕС; разработка Отраслевой квалификационной системы в туризме; законодательное утверждение обязательного страхования туристов, въезжающих на территорию Кыргызской Республики.</w:t>
      </w:r>
    </w:p>
    <w:p>
      <w:pPr>
        <w:spacing w:after="120"/>
        <w:ind w:firstLine="709"/>
        <w:jc w:val="both"/>
      </w:pPr>
      <w:r>
        <w:rPr>
          <w:rFonts w:ascii="Arial" w:cs="Arial" w:eastAsia="Arial" w:hAnsi="Arial"/>
          <w:sz w:val="24"/>
          <w:szCs w:val="24"/>
        </w:rPr>
        <w:t xml:space="preserve">Основными рисками, которые будут влиять на замедление темпов роста объемов сферы услуг, являются:</w:t>
      </w:r>
    </w:p>
    <w:p>
      <w:pPr>
        <w:spacing w:after="120"/>
        <w:ind w:firstLine="1134"/>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торговли за счет изменения условий (принятие единого таможенного тарифа (без изъятий), отмены упрощенного режима таможенного оформления, принятия технических регламентов ЕАЭС, более строгих правил подтверждения соответствия);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прекращение поставок некоторых товаров в Кыргызстан из-за роста таможенных пошлин, снижение товарооборота со странами, не входящими в ЕАЭС;</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сокращение объемов реэкспорта;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волатильность обменного курса валют;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низкое значение темпов роста реальной заработной платы;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сужение потребительского спроса;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затягивание решения вопроса по лицензированию геологоразведочных работ.</w:t>
      </w:r>
    </w:p>
    <w:p>
      <w:pPr>
        <w:spacing w:after="120"/>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Внешнеторговый оборот</w:t>
      </w:r>
    </w:p>
    <w:p>
      <w:pPr>
        <w:spacing w:after="120" w:before="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Основной целью развития внешнеторгового оборота является формирование конкурентоспособного экспортного потенциала для устойчивого экономического роста. Для достижения поставленной цели приоритетными направлениями являются: (1) развитие экспортного потенциала страны; (2) обеспечение гармонизации в сфере технического регулирования нормативных правовых актов Кыргызской Республики с документами ЕАЭС.</w:t>
      </w:r>
    </w:p>
    <w:p>
      <w:pPr>
        <w:spacing w:after="120"/>
        <w:ind w:firstLine="708"/>
        <w:jc w:val="both"/>
      </w:pPr>
      <w:r>
        <w:rPr>
          <w:rFonts w:ascii="Arial" w:cs="Arial" w:eastAsia="Arial" w:hAnsi="Arial"/>
          <w:sz w:val="24"/>
          <w:szCs w:val="24"/>
        </w:rPr>
        <w:t xml:space="preserve">В рамках реализации приоритетов предполагается принятие следующих мер:</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реализация </w:t>
      </w:r>
      <w:r>
        <w:rPr>
          <w:rFonts w:ascii="Arial" w:cs="Arial" w:eastAsia="Arial" w:hAnsi="Arial"/>
          <w:sz w:val="24"/>
          <w:szCs w:val="24"/>
        </w:rPr>
        <w:t xml:space="preserve">Плана Правительства по развитию экспорта Кыргызской Республики на 2015-2017 годы, утвержденного постановлением Правительства Кыргызской Республики от 31 марта              2015 года № 174;</w:t>
      </w:r>
      <w:r>
        <w:rPr>
          <w:rFonts w:ascii="Arial" w:cs="Arial" w:eastAsia="Arial" w:hAnsi="Arial"/>
          <w:sz w:val="24"/>
          <w:szCs w:val="24"/>
        </w:rPr>
        <w:t xml:space="preserve"> получение статуса бенефициара всеобщей системы преференций + (ВСП+) для Кыргызской Республики; через нормативные правовые акты расширение функций государственного предприятия «Центр «единого окна» в сфере внешней торговли» по развитию и продвижению экспорта;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переговоров с международными организациями по вопросам применения международных стандартов и с основными торгово-экономическими партнерами по применению международных и региональных стандартов в качестве кыргызских национальных стандартов;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гармонизация национальных стандартов с международными нормами и правилами;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заключение соглашений с основными торгово-экономическими партнерами о взаимном признании результатов оценки соответствия стандартов;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переоснащение лабораторно-испытательной и эталонной баз, с привлечением средств донорских организаций;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внесение изменений и дополнений в законодательство, в части стимулирования хозяйствующих субъектов, внедряющих менеджмент качества и безопасности продуктов;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консультационно-информационных мероприятий для частного сектора по вопросам доступа товаров на рынки стран ЕАЭС.</w:t>
      </w:r>
    </w:p>
    <w:p>
      <w:pPr>
        <w:spacing w:after="120"/>
        <w:ind w:firstLine="709"/>
        <w:jc w:val="both"/>
      </w:pPr>
      <w:r>
        <w:rPr>
          <w:rFonts w:ascii="Arial" w:cs="Arial" w:eastAsia="Arial" w:hAnsi="Arial"/>
          <w:sz w:val="24"/>
          <w:szCs w:val="24"/>
        </w:rPr>
        <w:t xml:space="preserve">Основными влияющими факторами на развитие внешнеэкономической деятельности в среднесрочном периоде будут: (а) благоприятное географическое положение Кыргызской Республики по соседству с такими странами, как Россия, Казахстан, Узбекистан и Китай, рынки, которых могут обеспечить рост экспортного потенциала Кыргызской Республики; (б) политическая стабильность в соседних государствах; в) активное использование членства Кыргызской Республики в ЕАЭС, ВТО; (г) расширение внешнеэкономического сотрудничества в рамках Шанхайской организации сотрудничества (ШОС), СНГ; е) углубление сотрудничества с международными экономическими и финансовыми организациями.</w:t>
      </w:r>
    </w:p>
    <w:p>
      <w:pPr>
        <w:spacing w:after="120"/>
        <w:ind w:firstLine="709"/>
        <w:jc w:val="both"/>
      </w:pPr>
      <w:r>
        <w:rPr>
          <w:rFonts w:ascii="Arial" w:cs="Arial" w:eastAsia="Arial" w:hAnsi="Arial"/>
          <w:sz w:val="24"/>
          <w:szCs w:val="24"/>
        </w:rPr>
        <w:t xml:space="preserve">Рост объема внешнеторгового оборота в 2016-2018 годах прогнозируется в среднем на 2,8 % ежегодно и достигнет уровня 8350,0 млн долл. США в 2018 году.</w:t>
      </w:r>
    </w:p>
    <w:p>
      <w:pPr>
        <w:spacing w:after="120"/>
        <w:ind w:firstLine="705"/>
        <w:jc w:val="both"/>
      </w:pPr>
      <w:r>
        <w:rPr>
          <w:rFonts w:ascii="Arial" w:cs="Arial" w:eastAsia="Arial" w:hAnsi="Arial"/>
          <w:sz w:val="24"/>
          <w:szCs w:val="24"/>
        </w:rPr>
        <w:t xml:space="preserve">За этот период рост экспорта прогнозируется в среднем на 4,6 % и к 2018 году составит 2150,0 млн долл. США, а импорта - на 2,2 % (6200.0 млн долл. США).</w:t>
      </w:r>
    </w:p>
    <w:p>
      <w:pPr>
        <w:spacing w:after="120"/>
        <w:ind w:firstLine="705"/>
        <w:jc w:val="both"/>
      </w:pPr>
      <w:r>
        <w:rPr>
          <w:rFonts w:ascii="Arial" w:cs="Arial" w:eastAsia="Arial" w:hAnsi="Arial"/>
          <w:sz w:val="24"/>
          <w:szCs w:val="24"/>
        </w:rPr>
        <w:t xml:space="preserve">В среднесрочный период среднегодовой темп роста экспорта прогнозируется за счет увеличения экспорта золота на 9,7 %, сурьмы - на 20,8 %, ламп накаливания - на 12,7 %, цемента - на 3,5 %, одежды и ее принадлежностей - на 3,7 %, овощей и фруктов - на 1,2 % и др.</w:t>
      </w:r>
    </w:p>
    <w:p>
      <w:pPr>
        <w:spacing w:after="120"/>
        <w:ind w:firstLine="705"/>
        <w:jc w:val="both"/>
      </w:pPr>
      <w:r>
        <w:rPr>
          <w:rFonts w:ascii="Arial" w:cs="Arial" w:eastAsia="Arial" w:hAnsi="Arial"/>
          <w:sz w:val="24"/>
          <w:szCs w:val="24"/>
        </w:rPr>
        <w:t xml:space="preserve">По импортным поступлениям за счет сохранения уровня потребления, а также за счет предполагаемого увеличения доли инвестиционных и промежуточных товаров, предназначенных для реализации проектов, напрямую связанных с вхождением в ЕАЭС (строительство и ремонт таможенных постов в соответствии с требованиями ЕАЭС), а также проектов по ремонту и строительству автомобильных дорог, гидроэлектростанций и др. объектов, предполагается увеличение объемов импорта по большинству товаров, таким как, нефтепродукты - в среднем на 2,3 %, машины и оборудование для промышленности - на 2,4 %, электрические машины и аппараты - на 4,4 %, черные металлы и изделия из них - на 2,3 %, газ природный - на  21,7 %.</w:t>
      </w:r>
    </w:p>
    <w:p>
      <w:pPr>
        <w:spacing w:after="120"/>
        <w:ind w:firstLine="705"/>
        <w:jc w:val="both"/>
      </w:pPr>
      <w:r>
        <w:rPr>
          <w:rFonts w:ascii="Arial" w:cs="Arial" w:eastAsia="Arial" w:hAnsi="Arial"/>
          <w:sz w:val="24"/>
          <w:szCs w:val="24"/>
        </w:rPr>
        <w:t xml:space="preserve">Кроме того, за счет увеличения таможенных тарифов при вступлении в действие режимов ЕАЭС предполагается увеличение объемов импорта на большинство видов потребительских и др. товаров: пластмассы и изделий из них, удобрения, бумага, картон и изделия из них, фармацевтическая продукция, продтовары и сельхозсырье и др. готовых изделий в среднем на 2-5 %.</w:t>
      </w:r>
    </w:p>
    <w:p>
      <w:pPr>
        <w:spacing w:after="120"/>
        <w:ind w:firstLine="705"/>
        <w:jc w:val="both"/>
      </w:pPr>
      <w:r>
        <w:rPr>
          <w:rFonts w:ascii="Arial" w:cs="Arial" w:eastAsia="Arial" w:hAnsi="Arial"/>
          <w:sz w:val="24"/>
          <w:szCs w:val="24"/>
        </w:rPr>
        <w:t xml:space="preserve">Основными рисками могут быть: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экспорта за счет снижения реэкспорта потребительских и др. товаров, а также удорожания импортного сырья и комплектующих, что может повлечь рост дефицита торгового баланса;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цен на сырье и комплектующие материалы, а в силу высокой степени зависимости от их импорта, есть вероятность того, что отечественные товаропроизводители могут понести ущерб и, возможно, потеряют свою конкурентоспособность, особенно предприятия швейной и текстильной, строительной отрасли;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снижение объемов производства, в экспортно-ориентированных отраслях экономики.</w:t>
      </w:r>
    </w:p>
    <w:p>
      <w:pPr>
        <w:spacing w:after="120"/>
        <w:ind w:firstLine="708"/>
        <w:jc w:val="both"/>
      </w:pPr>
      <w:r>
        <w:rPr>
          <w:rFonts w:ascii="Arial" w:cs="Arial" w:eastAsia="Arial" w:hAnsi="Arial"/>
          <w:sz w:val="24"/>
          <w:szCs w:val="24"/>
        </w:rPr>
        <w:t xml:space="preserve">В результате отрицательное сальдо торгового баланса ухудшится с 3,9 млрд долл. США в 2016 году до 4 млрд долл. США - в 2018 году.</w:t>
      </w:r>
    </w:p>
    <w:p>
      <w:pPr>
        <w:spacing w:after="120"/>
        <w:ind w:firstLine="709"/>
        <w:jc w:val="both"/>
      </w:pPr>
      <w:r>
        <w:rPr>
          <w:rFonts w:ascii="Arial" w:cs="Arial" w:eastAsia="Arial" w:hAnsi="Arial"/>
          <w:sz w:val="24"/>
          <w:szCs w:val="24"/>
        </w:rPr>
        <w:t xml:space="preserve">Отрицательное сальдо чистого экспорта товаров и услуг к ВВП снизится с (-) 50,2 % в 2016 году до (-) 49,0 % - в 2018 году за счет увеличения экспорта золота.</w:t>
      </w:r>
    </w:p>
    <w:p>
      <w:pPr>
        <w:spacing w:after="120"/>
        <w:ind w:firstLine="709"/>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Таблица 14</w:t>
      </w:r>
    </w:p>
    <w:p>
      <w:pPr>
        <w:spacing w:after="240" w:before="200"/>
        <w:ind w:firstLine="567"/>
        <w:jc w:val="center"/>
      </w:pPr>
      <w:r>
        <w:rPr>
          <w:rFonts w:ascii="Arial" w:cs="Arial" w:eastAsia="Arial" w:hAnsi="Arial"/>
          <w:b/>
          <w:bCs/>
          <w:sz w:val="32"/>
          <w:szCs w:val="32"/>
        </w:rPr>
        <w:t xml:space="preserve">Использование ВВП в 2016-2018 годах, в % к ВВП</w:t>
      </w:r>
    </w:p>
    <w:p>
      <w:pPr>
        <w:spacing w:after="12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7"/>
        <w:gridCol w:w="1357"/>
        <w:gridCol w:w="1357"/>
        <w:gridCol w:w="1357"/>
      </w:tblGrid>
      <w:tr>
        <w:tc>
          <w:tcPr>
            <w:tcW w:type="dxa" w:w="610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Показатели</w:t>
            </w:r>
          </w:p>
        </w:tc>
        <w:tc>
          <w:tcPr>
            <w:tcW w:type="dxa" w:w="135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2016 год</w:t>
            </w:r>
          </w:p>
        </w:tc>
        <w:tc>
          <w:tcPr>
            <w:tcW w:type="dxa" w:w="135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2017 год</w:t>
            </w:r>
          </w:p>
        </w:tc>
        <w:tc>
          <w:tcPr>
            <w:tcW w:type="dxa" w:w="135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tcW w:type="dxa" w:w="13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c>
          <w:tcPr>
            <w:tcW w:type="dxa" w:w="13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c>
          <w:tcPr>
            <w:tcW w:type="dxa" w:w="13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ВВП в рыночных ценах</w:t>
            </w:r>
          </w:p>
        </w:tc>
        <w:tc>
          <w:tcPr>
            <w:tcW w:type="dxa" w:w="13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c>
          <w:tcPr>
            <w:tcW w:type="dxa" w:w="13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c>
          <w:tcPr>
            <w:tcW w:type="dxa" w:w="13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Потребление</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113,9</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113,8</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111,6</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Государственное</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17,1</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16,8</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16,1</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Частное</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96,8</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97,0</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95,6</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Валовые инвестиции</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36,3</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37,1</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37,3</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Государственные инвестиции</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7,2</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6,9</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6,6</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Из них ПГИ (внешние)</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5,3</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4,4</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4,1</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Частные инвестиции</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29,1</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30,1</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30,8</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Экспорт (товары и нефакторные услуги)</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35,7</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34,2</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32,5</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Импорт (товары и нефакторные услуги)</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85,9</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85,0</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81,5</w:t>
            </w:r>
          </w:p>
        </w:tc>
      </w:tr>
      <w:tr>
        <w:tc>
          <w:tcPr>
            <w:tcW w:type="dxa" w:w="610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Чистый экспорт товаров и услуг</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-50,2</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-50,8</w:t>
            </w:r>
          </w:p>
        </w:tc>
        <w:tc>
          <w:tcPr>
            <w:tcW w:type="dxa" w:w="135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-49,0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Социальная сфера</w:t>
      </w:r>
    </w:p>
    <w:p>
      <w:pPr>
        <w:spacing w:after="120"/>
        <w:ind w:firstLine="709"/>
        <w:jc w:val="both"/>
      </w:pPr>
      <w:r>
        <w:rPr>
          <w:rFonts w:ascii="Arial" w:cs="Arial" w:eastAsia="Arial" w:hAnsi="Arial"/>
          <w:sz w:val="24"/>
          <w:szCs w:val="24"/>
        </w:rPr>
        <w:t xml:space="preserve"/>
      </w:r>
    </w:p>
    <w:p>
      <w:pPr>
        <w:spacing w:after="60"/>
        <w:ind w:firstLine="709"/>
        <w:jc w:val="both"/>
      </w:pPr>
      <w:r>
        <w:rPr>
          <w:rFonts w:ascii="Arial" w:cs="Arial" w:eastAsia="Arial" w:hAnsi="Arial"/>
          <w:sz w:val="24"/>
          <w:szCs w:val="24"/>
        </w:rPr>
        <w:t xml:space="preserve">Политика социального развития в 2016-2018 годах, как и прежде, будет направлена, в первую очередь, на выполнение в полном объеме гарантированных социальных обязательств государства, на повышение уровня жизни населения и улучшение положения социально незащищенных категорий граждан и снижение масштабов бедности, с учетом современных требований и возможностей государства.</w:t>
      </w:r>
    </w:p>
    <w:p>
      <w:pPr>
        <w:spacing w:after="60"/>
        <w:ind w:firstLine="709"/>
        <w:jc w:val="both"/>
      </w:pPr>
      <w:r>
        <w:rPr>
          <w:rFonts w:ascii="Arial" w:cs="Arial" w:eastAsia="Arial" w:hAnsi="Arial"/>
          <w:sz w:val="24"/>
          <w:szCs w:val="24"/>
        </w:rPr>
        <w:t xml:space="preserve">Среднесрочная политика страны в развитии социальной сферы будет сфокусирована на следующих приоритетных направлениях:</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государственная поддержка занятости населения, а также граждан Кыргызской Республики, занятых на внешних рынках труда;</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 права на труд для уязвимых слоев населения: женщин, молодежи, лиц с ограниченными возможностями здоровья;</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повышение эффективности государственного регулирования развития сферы образования;</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предоставление качественного и доступного образования в соответствии с возрастными потребностями человека;</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переориентация научной сферы, в том числе – вузовской, на работу с конкретным заказчиком, ориентированным на продвижение устойчивого развития страны;</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укрепление потенциала системы здравоохранения, направленного на предоставление качественных медицинских услуг населению;</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необходимых условий для охраны и укрепления здоровья населения и каждого человека в отдельности;</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 гарантий государства в области социальной защиты для наиболее уязвимых категорий граждан;</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условий для развития и жизнедеятельности детей и семей, находящихся в трудной жизненной ситуации, и обеспечение предоставления им качественных социальных услуг;</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усиление адресности ежемесячного пособия малообеспеченным семьям, имеющим детей и повышение их размеров; </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 равноправного доступа к базовым услугам и создание доступной среды жизнедеятельности для лиц с ограниченными возможностями здоровья в целях эффективной интеграции их в общество;</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 пожилых граждан достойным уровнем социальных выплат и доступом к качественным социальным услугам;</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наращивание потенциала системы социальной защиты и пенсионного обеспечения для оказания качественных услуг населению;</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оптимизация расходов республиканского бюджета на пенсионное обеспечение;</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переоценка роли базовой части пенсии и компенсационных выплат за электроэнергию в пенсионной системе;</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внесение изменений в законодательство, предусматривающее повышение возраста выхода на пенсию для отдельных льготных категорий получателей пенсий;</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пересмотр условий назначения и выплаты надбавок к пенсиям; пенсионного обеспечения трудовых мигрантов;</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структурных реформ в сфере культуры для повышения качества услуг населению, расширения участия в культурной жизни;</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сохранение культурного и природного наследия страны;</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 имиджа страны на основе развития культурной среды;</w:t>
      </w:r>
    </w:p>
    <w:p>
      <w:pPr>
        <w:spacing w:after="60"/>
        <w:ind w:firstLine="709"/>
        <w:jc w:val="both"/>
      </w:pPr>
      <w:r>
        <w:rPr>
          <w:rFonts w:ascii="Arial" w:cs="Arial" w:eastAsia="Arial" w:hAnsi="Arial"/>
          <w:sz w:val="24"/>
          <w:szCs w:val="24"/>
        </w:rPr>
        <w:t xml:space="preserve">-</w:t>
      </w:r>
      <w:r>
        <w:rPr>
          <w:rFonts w:ascii="Arial" w:cs="Arial" w:eastAsia="Arial" w:hAnsi="Arial"/>
          <w:sz w:val="24"/>
          <w:szCs w:val="24"/>
        </w:rPr>
        <w:t xml:space="preserve">развитие массовой физической культуры и спорта высших достижений.</w:t>
      </w:r>
    </w:p>
    <w:p>
      <w:pPr>
        <w:spacing w:after="60"/>
        <w:ind w:firstLine="709"/>
        <w:jc w:val="both"/>
      </w:pPr>
      <w:r>
        <w:rPr>
          <w:rFonts w:ascii="Arial" w:cs="Arial" w:eastAsia="Arial" w:hAnsi="Arial"/>
          <w:sz w:val="24"/>
          <w:szCs w:val="24"/>
        </w:rPr>
        <w:t xml:space="preserve">Указанные приоритетные направления будут продвигаться за счет реализации мер, принятых в рамках Программы по переходу Кыргызской Республики к устойчивому развитию на 2013-2017 годы, Стратегии развития образования в Кыргызской Республике на 2012-2020 годы (постановление Правительства Кыргызской Республики от 23 марта 2012 года № 201), Национальной программы реформирования системы здравоохранения Кыргызской Республики «Ден-соолук» на 2012-2016 годы (постановление Правительства Кыргызской Республики от 24 мая 2012 года № 309), Концепции развития пенсионной системы Кыргызской Республики (постановление Правительства Кыргызской Республики от           24 февраля 2014 года № 670), Программы развития социальной защиты населения Кыргызской Республики на 2015-2017 годы» (постановление Правительства Кыргызской Республики от 27 февраля 2015 года № 85), Программы развития физической культуры и спорта в Кыргызской Республике на 2014-2017 годы (постановление Правительства Кыргызской Республики от 12 мая 2014 года № 254).</w:t>
      </w:r>
    </w:p>
    <w:p>
      <w:pPr>
        <w:spacing w:after="120"/>
        <w:ind w:firstLine="680"/>
        <w:jc w:val="both"/>
      </w:pPr>
      <w:r>
        <w:rPr>
          <w:rFonts w:ascii="Arial" w:cs="Arial" w:eastAsia="Arial" w:hAnsi="Arial"/>
          <w:sz w:val="24"/>
          <w:szCs w:val="24"/>
        </w:rPr>
        <w:t xml:space="preserve">Политика занятости и миграции населения будет направлена на упорядочение миграционных процессов и создание условий цивилизованного развития внешней трудовой миграции, защиту прав мигрантов в стране пребывания и повышение конкурентоспособности экономически активного населения.</w:t>
      </w:r>
    </w:p>
    <w:p>
      <w:pPr>
        <w:spacing w:after="60"/>
        <w:ind w:firstLine="709"/>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2016-2018 годах будут складываться следующим образом.</w:t>
      </w:r>
    </w:p>
    <w:p>
      <w:pPr>
        <w:spacing w:after="60"/>
        <w:ind w:firstLine="709"/>
        <w:jc w:val="both"/>
      </w:pPr>
      <w:r>
        <w:rPr>
          <w:rFonts w:ascii="Arial" w:cs="Arial" w:eastAsia="Arial" w:hAnsi="Arial"/>
          <w:sz w:val="24"/>
          <w:szCs w:val="24"/>
        </w:rPr>
        <w:t xml:space="preserve">Реальный рост денежных доходов населения в 2016-2018 годах прогнозируется в среднем на уровне 7,5 %, что будет способствовать росту частного потребления на 3,2 % в среднем за год. В прогнозируемом периоде доля государственного потребления сократится на 1,0 процентный пункт по сравнению с 2016 годом и составит в 2018 году 16,1 % к ВВП.</w:t>
      </w:r>
    </w:p>
    <w:p>
      <w:pPr>
        <w:spacing w:after="120"/>
        <w:ind w:firstLine="709"/>
        <w:jc w:val="both"/>
      </w:pPr>
      <w:r>
        <w:rPr>
          <w:rFonts w:ascii="Arial" w:cs="Arial" w:eastAsia="Arial" w:hAnsi="Arial"/>
          <w:sz w:val="24"/>
          <w:szCs w:val="24"/>
        </w:rPr>
        <w:t xml:space="preserve">Рост номинального размера средней заработной платы прогнозируется в среднем на 9,0 % и составит в 2018 году 17500 сомов.</w:t>
      </w:r>
    </w:p>
    <w:p>
      <w:pPr>
        <w:spacing w:after="120"/>
        <w:ind w:firstLine="708"/>
        <w:jc w:val="both"/>
      </w:pPr>
      <w:r>
        <w:rPr>
          <w:rFonts w:ascii="Arial" w:cs="Arial" w:eastAsia="Arial" w:hAnsi="Arial"/>
          <w:sz w:val="24"/>
          <w:szCs w:val="24"/>
        </w:rPr>
        <w:t xml:space="preserve">Размер прожиточного минимума (ПМ) прогнозируется в размере 6170,9 сома в 2016 году до 7293,7 сома - в 2018 году. Коэффициент отношения средней заработной платы к прожиточному минимуму на взрослое население трудоспособного возраста сложится на уровне 2,1 к 2018 году.</w:t>
      </w:r>
    </w:p>
    <w:p>
      <w:pPr>
        <w:spacing w:after="120"/>
        <w:ind w:firstLine="708"/>
        <w:jc w:val="both"/>
      </w:pPr>
      <w:r>
        <w:rPr>
          <w:rFonts w:ascii="Arial" w:cs="Arial" w:eastAsia="Arial" w:hAnsi="Arial"/>
          <w:sz w:val="24"/>
          <w:szCs w:val="24"/>
        </w:rPr>
        <w:t xml:space="preserve">Прогнозируется увеличение номинального размера пенсии относительно 2016 года на 11,6 % и составит в 2018 году 5542 сома.</w:t>
      </w:r>
    </w:p>
    <w:p>
      <w:pPr>
        <w:spacing w:after="60"/>
        <w:ind w:firstLine="709"/>
        <w:jc w:val="both"/>
      </w:pPr>
      <w:r>
        <w:rPr>
          <w:rFonts w:ascii="Arial" w:cs="Arial" w:eastAsia="Arial" w:hAnsi="Arial"/>
          <w:sz w:val="24"/>
          <w:szCs w:val="24"/>
        </w:rPr>
        <w:t xml:space="preserve">Прогнозируется снижение уровня общей безработицы к 2018 году до 7,9 %, относительно 8,3 %, фактически сложившегося уровня в 2013 году.</w:t>
      </w:r>
    </w:p>
    <w:p>
      <w:pPr>
        <w:spacing w:after="60"/>
        <w:ind w:firstLine="709"/>
        <w:jc w:val="both"/>
      </w:pPr>
      <w:r>
        <w:rPr>
          <w:rFonts w:ascii="Arial" w:cs="Arial" w:eastAsia="Arial" w:hAnsi="Arial"/>
          <w:sz w:val="24"/>
          <w:szCs w:val="24"/>
        </w:rPr>
        <w:t xml:space="preserve">Уровень бедности к 2018 году прогнозируется на уровне 35,3 % и снизится на 1,1 процентного пункта по сравнению с 2016 годом.</w:t>
      </w:r>
    </w:p>
    <w:p>
      <w:pPr>
        <w:spacing w:after="120" w:before="240"/>
        <w:jc w:val="center"/>
      </w:pPr>
      <w:r>
        <w:rPr>
          <w:rFonts w:ascii="Arial" w:cs="Arial" w:eastAsia="Arial" w:hAnsi="Arial"/>
          <w:sz w:val="24"/>
          <w:szCs w:val="24"/>
        </w:rPr>
        <w:t xml:space="preserve"/>
      </w:r>
    </w:p>
    <w:p>
      <w:pPr>
        <w:spacing w:after="240" w:before="240"/>
        <w:jc w:val="center"/>
      </w:pPr>
      <w:r>
        <w:rPr>
          <w:rFonts w:ascii="Arial" w:cs="Arial" w:eastAsia="Arial" w:hAnsi="Arial"/>
          <w:b/>
          <w:bCs/>
          <w:sz w:val="32"/>
          <w:szCs w:val="32"/>
        </w:rPr>
        <w:t xml:space="preserve">Заключение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среднесрочной перспективе на 2016-2018 годы обеспечение экономического роста в среднем на 4,4 % в год будет обеспечиваться за счет: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повышения конкурентоспособности национальной экономики через проведение кардинальных реформ для улучшения бизнес – среды;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реализации бюджетной политики, оптимизации государственных расходов;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построения прозрачной и эффективной системы исполнительной власти, свободной от влияния коррупции.</w:t>
      </w:r>
    </w:p>
    <w:p>
      <w:pPr>
        <w:spacing w:after="120"/>
        <w:ind w:firstLine="709"/>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ind w:firstLine="709"/>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w:t>
      </w:r>
    </w:p>
    <w:p>
      <w:pPr>
        <w:spacing w:after="120"/>
        <w:ind w:firstLine="709"/>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w:t>
      </w:r>
    </w:p>
    <w:p>
      <w:pPr>
        <w:spacing w:after="120"/>
        <w:ind w:firstLine="709"/>
        <w:jc w:val="both"/>
      </w:pPr>
      <w:r>
        <w:rPr>
          <w:rFonts w:ascii="Arial" w:cs="Arial" w:eastAsia="Arial" w:hAnsi="Arial"/>
          <w:sz w:val="24"/>
          <w:szCs w:val="24"/>
        </w:rPr>
        <w:t xml:space="preserve">Важным условием выполнения прогнозируемых целевых показателей на среднесрочный период является сохранение политической стабильности, поступление в сектор экономики прогнозируемых объемов инвестиций, а также отсутствие влияющих на экономику внешних и внутренних шоков.</w:t>
      </w:r>
    </w:p>
    <w:p>
      <w:pPr>
        <w:spacing w:after="120"/>
        <w:ind w:firstLine="709"/>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1 - 15 к настоящему Среднесрочному прогнозу социально-экономического развития Кыргызской Республики на 2016-2018 годы.</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социально-экономического развития</w:t>
      </w:r>
    </w:p>
    <w:p>
      <w:pPr>
        <w:spacing w:after="120"/>
        <w:jc w:val="both"/>
      </w:pPr>
      <w:r>
        <w:rPr>
          <w:rFonts w:ascii="Arial" w:cs="Arial" w:eastAsia="Arial" w:hAnsi="Arial"/>
          <w:sz w:val="24"/>
          <w:szCs w:val="24"/>
        </w:rPr>
        <w:t xml:space="preserve"> Кыргызской Республики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r>
              <w:rPr>
                <w:rFonts w:ascii="Arial" w:cs="Arial" w:eastAsia="Arial" w:hAnsi="Arial"/>
                <w:sz w:val="24"/>
                <w:szCs w:val="24"/>
              </w:rPr>
              <w:t xml:space="preserve">Производство ВВП:</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Номинальный ВВП</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397277,1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438579,8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486492,3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544804,1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618710,0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105,5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107,7</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Добавленная стоимость</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61741,3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61610,7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68466,8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76879,3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86065,5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лесное хозяйство и рыболовство</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58888,7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64786,9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70585,0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76877,8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85274,8</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29461,1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34061,3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37516,6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42311,5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53662,6</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Сфера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191139,3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216059,3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241208,2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271936,9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306523,7</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 и импорт</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56046,7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62061,6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68715,6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76798,5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87183,5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Справка: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367840,5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412720,3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457989,2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513207,1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586125,6</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r>
      <w:tr>
        <w:tc>
          <w:tcPr>
            <w:tcW w:type="dxa" w:w="10178"/>
            <w:gridSpan w:val="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w:t>
            </w:r>
            <w:r>
              <w:rPr>
                <w:rFonts w:ascii="Arial" w:cs="Arial" w:eastAsia="Arial" w:hAnsi="Arial"/>
                <w:sz w:val="24"/>
                <w:szCs w:val="24"/>
              </w:rPr>
              <w:t xml:space="preserve">Использование ВВП</w:t>
            </w:r>
            <w:hyperlink w:history="1" r:id="rId02t-ap5mw8gsbrgxvkbxp">
              <w:r>
                <w:rPr>
                  <w:rFonts w:ascii="Arial" w:cs="Arial" w:eastAsia="Arial" w:hAnsi="Arial"/>
                  <w:b w:val="false"/>
                  <w:bCs w:val="false"/>
                  <w:color w:val="1D4ED8"/>
                  <w:sz w:val="24"/>
                  <w:szCs w:val="24"/>
                  <w:u w:val="single"/>
                </w:rPr>
                <w:t xml:space="preserve">[7]</w:t>
              </w:r>
            </w:hyperlink>
            <w:r>
              <w:rPr>
                <w:rFonts w:ascii="Arial" w:cs="Arial" w:eastAsia="Arial" w:hAnsi="Arial"/>
                <w:sz w:val="24"/>
                <w:szCs w:val="24"/>
              </w:rPr>
              <w:t xml:space="preserve">:</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Конечное потребление</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447 874,5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499 166,6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554 002,4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619 762,2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690 758,7</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Частное потребление</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378 495,5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423 406,8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470 706,8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528 495,5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591 204,9</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Государственное потребление</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69 379,0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75 759,8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83 295,7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91 266,7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99 553,7</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Валовые инвестиции</w:t>
            </w:r>
            <w:hyperlink w:history="1" r:id="rIdmp8yhlaezjwn0qjmolls1">
              <w:r>
                <w:rPr>
                  <w:rFonts w:ascii="Arial" w:cs="Arial" w:eastAsia="Arial" w:hAnsi="Arial"/>
                  <w:color w:val="1D4ED8"/>
                  <w:sz w:val="24"/>
                  <w:szCs w:val="24"/>
                  <w:u w:val="single"/>
                </w:rPr>
                <w:t xml:space="preserve">[8]</w:t>
              </w:r>
            </w:hyperlink>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136 970,1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155 945,6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176 792,5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201 864,5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231 034,2</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Государственные инвестиции</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28 012,9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32 613,7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35 186,9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37 798,9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40 693,0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 них: Программа государственных инвестиций (ПГИ внешние)</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13 522,6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21 239,6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25 944,3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23 836,6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25 513,1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Частные инвестиции</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108 957,2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123 332,0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141 605,6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164 065,6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190 341,1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Чистый экспорт товаров и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-187567,5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-216532,5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-244302,7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-276822,6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-303082,8</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 и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166 464,0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167 223,7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173 635,3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186 185,8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201 364,5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 и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354 031,5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383 756,1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417 938,0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463 008,4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504 447,3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107,1</w:t>
            </w:r>
          </w:p>
        </w:tc>
      </w:tr>
      <w:tr>
        <w:tc>
          <w:tcPr>
            <w:tcW w:type="dxa" w:w="10178"/>
            <w:gridSpan w:val="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r>
              <w:rPr>
                <w:rFonts w:ascii="Arial" w:cs="Arial" w:eastAsia="Arial" w:hAnsi="Arial"/>
                <w:sz w:val="24"/>
                <w:szCs w:val="24"/>
              </w:rPr>
              <w:t xml:space="preserve">Социальные показатели</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на душу населения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84,2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на душу населения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долл. США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1214,1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1229,4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1280,9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1365,7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265215,2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307442,5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357825,3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421730,8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503258,4</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Прожиточный минимум</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сомов в месяц</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4981,5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5534,5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6170,9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6784,2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7293,7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сомов в месяц</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5563,2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6180,7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6891,4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7576,4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8145,4</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сомов в месяц</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4434,4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4926,6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5493,1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6039,1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6492,6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5580,6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5689,0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5778,7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5866,1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5956,0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12435,0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13500,0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14800,0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16350,0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17500,0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218,4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214,8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215,8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214,8</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w:t>
            </w:r>
            <w:hyperlink w:history="1" r:id="rId3k3gkcj0pihp3uazztxup">
              <w:r>
                <w:rPr>
                  <w:rFonts w:ascii="Arial" w:cs="Arial" w:eastAsia="Arial" w:hAnsi="Arial"/>
                  <w:color w:val="1D4ED8"/>
                  <w:sz w:val="24"/>
                  <w:szCs w:val="24"/>
                  <w:u w:val="single"/>
                </w:rPr>
                <w:t xml:space="preserve">[9]</w:t>
              </w:r>
            </w:hyperlink>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сомов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4600,0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4700,0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4965,0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5248,0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5542,0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85,4</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IV. Трудовые ресурсы</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Численность экономически активного населения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2470,5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2472,3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2473,0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2474,5</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2475,6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2268,3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2270,0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2273,3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2277,2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2279,5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202,2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202,3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199,7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197,3</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196,1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r>
    </w:tbl>
    <w:p>
      <w:pPr>
        <w:spacing w:after="120"/>
        <w:jc w:val="center"/>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 производства и конечного использования ВВП на 2016-2018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Национальные счета (% от ВВП)</w:t>
            </w:r>
          </w:p>
        </w:tc>
      </w:tr>
      <w:tr>
        <w:tc>
          <w:tcPr>
            <w:tcW w:type="dxa" w:w="10176"/>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Производство ВВП</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49,5</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w:t>
            </w:r>
          </w:p>
        </w:tc>
      </w:tr>
      <w:tr>
        <w:tc>
          <w:tcPr>
            <w:tcW w:type="dxa" w:w="10176"/>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Использование ВВП</w:t>
            </w:r>
            <w:hyperlink w:history="1" r:id="rIdhi99re7xdfoxyxv-ljsit">
              <w:r>
                <w:rPr>
                  <w:rFonts w:ascii="Arial" w:cs="Arial" w:eastAsia="Arial" w:hAnsi="Arial"/>
                  <w:color w:val="1D4ED8"/>
                  <w:sz w:val="24"/>
                  <w:szCs w:val="24"/>
                  <w:u w:val="single"/>
                </w:rPr>
                <w:t xml:space="preserve">[10]</w:t>
              </w:r>
            </w:hyperlink>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112,7</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113,8</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113,9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113,8</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111,6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16,8</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95,3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96,5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96,8</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97,0</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95,6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34,5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35,6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36,3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37,1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37,3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4,8</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28,1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29,1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-47,2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-49,4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-50,2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-50,8</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-49,0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41,9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35,7</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34,2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32,5</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89,1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87,5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85,9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85,0</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81,5</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bl>
    <w:p>
      <w:pPr>
        <w:spacing w:after="120"/>
        <w:ind w:firstLine="9071"/>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120"/>
        <w:ind w:firstLine="9071"/>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Валовая продукция и темпы роста в секторах, формирующих ВВП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1146"/>
        <w:gridCol w:w="970"/>
        <w:gridCol w:w="971"/>
        <w:gridCol w:w="970"/>
        <w:gridCol w:w="1032"/>
      </w:tblGrid>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w:t>
            </w:r>
            <w:r>
              <w:rPr>
                <w:rFonts w:ascii="Arial" w:cs="Arial" w:eastAsia="Arial" w:hAnsi="Arial"/>
                <w:sz w:val="24"/>
                <w:szCs w:val="24"/>
              </w:rPr>
              <w:t xml:space="preserve">, </w:t>
            </w:r>
            <w:r>
              <w:rPr>
                <w:rFonts w:ascii="Arial" w:cs="Arial" w:eastAsia="Arial" w:hAnsi="Arial"/>
                <w:b/>
                <w:bCs/>
                <w:sz w:val="24"/>
                <w:szCs w:val="24"/>
              </w:rPr>
              <w:t xml:space="preserve">лесное хозяйство и рыболовство</w:t>
            </w:r>
            <w:r>
              <w:rPr>
                <w:rFonts w:ascii="Arial" w:cs="Arial" w:eastAsia="Arial" w:hAnsi="Arial"/>
                <w:sz w:val="24"/>
                <w:szCs w:val="24"/>
              </w:rPr>
              <w:t xml:space="preserve">, 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194 394,6</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213 884,6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233 026,2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253 801,0</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276 221,7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hyperlink w:history="1" r:id="rIdlzycgnscm0v_wdya_nnv1">
              <w:r>
                <w:rPr>
                  <w:rFonts w:ascii="Arial" w:cs="Arial" w:eastAsia="Arial" w:hAnsi="Arial"/>
                  <w:color w:val="1D4ED8"/>
                  <w:sz w:val="24"/>
                  <w:szCs w:val="24"/>
                  <w:u w:val="single"/>
                </w:rPr>
                <w:t xml:space="preserve">[11]</w:t>
              </w:r>
            </w:hyperlink>
            <w:r>
              <w:rPr>
                <w:rFonts w:ascii="Arial" w:cs="Arial" w:eastAsia="Arial" w:hAnsi="Arial"/>
                <w:sz w:val="24"/>
                <w:szCs w:val="24"/>
              </w:rPr>
              <w:t xml:space="preserve">, 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169 690,4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169 331,6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188 175,0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211 295,9</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236 543,2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98,1</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hyperlink w:history="1" r:id="rIdnmxgik0jqbntkanuzrtbh">
              <w:r>
                <w:rPr>
                  <w:rFonts w:ascii="Arial" w:cs="Arial" w:eastAsia="Arial" w:hAnsi="Arial"/>
                  <w:color w:val="1D4ED8"/>
                  <w:sz w:val="24"/>
                  <w:szCs w:val="24"/>
                  <w:u w:val="single"/>
                </w:rPr>
                <w:t xml:space="preserve">[12]</w:t>
              </w:r>
            </w:hyperlink>
            <w:r>
              <w:rPr>
                <w:rFonts w:ascii="Arial" w:cs="Arial" w:eastAsia="Arial" w:hAnsi="Arial"/>
                <w:sz w:val="24"/>
                <w:szCs w:val="24"/>
              </w:rPr>
              <w:t xml:space="preserve">, 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167 552,2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166 753,4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184 460,8</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206 035,8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228 158,1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r>
              <w:rPr>
                <w:rFonts w:ascii="Arial" w:cs="Arial" w:eastAsia="Arial" w:hAnsi="Arial"/>
                <w:b/>
                <w:bCs/>
                <w:sz w:val="24"/>
                <w:szCs w:val="24"/>
              </w:rPr>
              <w:t xml:space="preserve">, </w:t>
            </w:r>
            <w:r>
              <w:rPr>
                <w:rFonts w:ascii="Arial" w:cs="Arial" w:eastAsia="Arial" w:hAnsi="Arial"/>
                <w:sz w:val="24"/>
                <w:szCs w:val="24"/>
              </w:rPr>
              <w:t xml:space="preserve">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5 832,3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6 054,5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6 504,7</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6 973,6</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7 338,2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115,7</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r>
              <w:rPr>
                <w:rFonts w:ascii="Arial" w:cs="Arial" w:eastAsia="Arial" w:hAnsi="Arial"/>
                <w:b/>
                <w:bCs/>
                <w:sz w:val="24"/>
                <w:szCs w:val="24"/>
              </w:rPr>
              <w:t xml:space="preserve">, </w:t>
            </w:r>
            <w:r>
              <w:rPr>
                <w:rFonts w:ascii="Arial" w:cs="Arial" w:eastAsia="Arial" w:hAnsi="Arial"/>
                <w:sz w:val="24"/>
                <w:szCs w:val="24"/>
              </w:rPr>
              <w:t xml:space="preserve">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136 959,8</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134 612,2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149 436,3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167 996,6</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186 134,4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r>
              <w:rPr>
                <w:rFonts w:ascii="Arial" w:cs="Arial" w:eastAsia="Arial" w:hAnsi="Arial"/>
                <w:b/>
                <w:bCs/>
                <w:sz w:val="24"/>
                <w:szCs w:val="24"/>
              </w:rPr>
              <w:t xml:space="preserve">, </w:t>
            </w:r>
            <w:r>
              <w:rPr>
                <w:rFonts w:ascii="Arial" w:cs="Arial" w:eastAsia="Arial" w:hAnsi="Arial"/>
                <w:sz w:val="24"/>
                <w:szCs w:val="24"/>
              </w:rPr>
              <w:t xml:space="preserve">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23 282,9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24 498,4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26 818,4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29 235,8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32 748,9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107,8</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1 477,3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1 588,3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1 701,4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1 829,8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1 936,6</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107,1</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Справка:</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r>
              <w:rPr>
                <w:rFonts w:ascii="Arial" w:cs="Arial" w:eastAsia="Arial" w:hAnsi="Arial"/>
                <w:b/>
                <w:bCs/>
                <w:sz w:val="24"/>
                <w:szCs w:val="24"/>
              </w:rPr>
              <w:t xml:space="preserve">, </w:t>
            </w:r>
            <w:r>
              <w:rPr>
                <w:rFonts w:ascii="Arial" w:cs="Arial" w:eastAsia="Arial" w:hAnsi="Arial"/>
                <w:sz w:val="24"/>
                <w:szCs w:val="24"/>
              </w:rPr>
              <w:t xml:space="preserve">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90 452,2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99 022,5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109 805,8</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123 277,3</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142 813,4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111,6</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Строительство, </w:t>
            </w:r>
            <w:r>
              <w:rPr>
                <w:rFonts w:ascii="Arial" w:cs="Arial" w:eastAsia="Arial" w:hAnsi="Arial"/>
                <w:sz w:val="24"/>
                <w:szCs w:val="24"/>
              </w:rPr>
              <w:t xml:space="preserve">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96 911,4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112 056,7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123 424,2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139 198,8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160 522,2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 </w:t>
            </w:r>
            <w:r>
              <w:rPr>
                <w:rFonts w:ascii="Arial" w:cs="Arial" w:eastAsia="Arial" w:hAnsi="Arial"/>
                <w:sz w:val="24"/>
                <w:szCs w:val="24"/>
              </w:rPr>
              <w:t xml:space="preserve">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333 241,6</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376 688,3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420 534,2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474 108,2</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534 408,4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106 106,6</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125 700,1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144 440,0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166 069,5</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192 449,2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108,7</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r>
      <w:tr>
        <w:tc>
          <w:tcPr>
            <w:tcW w:type="dxa" w:w="50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Транспортная деятельность и хранение грузов, млн сом</w:t>
            </w:r>
            <w:r>
              <w:rPr>
                <w:rFonts w:ascii="Arial" w:cs="Arial" w:eastAsia="Arial" w:hAnsi="Arial"/>
                <w:sz w:val="24"/>
                <w:szCs w:val="24"/>
              </w:rPr>
              <w:t xml:space="preserve">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41 850,1</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48 246,0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53 787,5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63 587,3</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74 649,3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106,6</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113,7</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110,9</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r>
      <w:tr>
        <w:tc>
          <w:tcPr>
            <w:tcW w:type="dxa" w:w="50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w:t>
            </w:r>
            <w:r>
              <w:rPr>
                <w:rFonts w:ascii="Arial" w:cs="Arial" w:eastAsia="Arial" w:hAnsi="Arial"/>
                <w:sz w:val="24"/>
                <w:szCs w:val="24"/>
              </w:rPr>
              <w:t xml:space="preserve">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17 607,4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20 726,7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23 768,4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27 463,4</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32 868,7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109,0</w:t>
            </w:r>
          </w:p>
        </w:tc>
      </w:tr>
      <w:tr>
        <w:tc>
          <w:tcPr>
            <w:tcW w:type="dxa" w:w="50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Информация и связь, млн сом</w:t>
            </w:r>
            <w:r>
              <w:rPr>
                <w:rFonts w:ascii="Arial" w:cs="Arial" w:eastAsia="Arial" w:hAnsi="Arial"/>
                <w:sz w:val="24"/>
                <w:szCs w:val="24"/>
              </w:rPr>
              <w:t xml:space="preserve">ов</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29 765,5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30 393,3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30 854,9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31 288,1</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31 664,2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7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10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
      </w:r>
    </w:p>
    <w:p>
      <w:pPr>
        <w:spacing w:after="120"/>
        <w:ind w:firstLine="142"/>
        <w:jc w:val="center"/>
      </w:pPr>
      <w:r>
        <w:rPr>
          <w:rFonts w:ascii="Arial" w:cs="Arial" w:eastAsia="Arial" w:hAnsi="Arial"/>
          <w:sz w:val="24"/>
          <w:szCs w:val="24"/>
        </w:rPr>
        <w:t xml:space="preserve"/>
      </w:r>
    </w:p>
    <w:p>
      <w:pPr>
        <w:spacing w:after="120"/>
        <w:ind w:firstLine="142"/>
        <w:jc w:val="center"/>
      </w:pPr>
      <w:r>
        <w:rPr>
          <w:rFonts w:ascii="Arial" w:cs="Arial" w:eastAsia="Arial" w:hAnsi="Arial"/>
          <w:sz w:val="24"/>
          <w:szCs w:val="24"/>
        </w:rPr>
        <w:t xml:space="preserve"/>
      </w:r>
    </w:p>
    <w:p>
      <w:pPr>
        <w:spacing w:after="120"/>
        <w:ind w:firstLine="142"/>
        <w:jc w:val="center"/>
      </w:pPr>
      <w:r>
        <w:rPr>
          <w:rFonts w:ascii="Arial" w:cs="Arial" w:eastAsia="Arial" w:hAnsi="Arial"/>
          <w:sz w:val="24"/>
          <w:szCs w:val="24"/>
        </w:rPr>
        <w:t xml:space="preserve"/>
      </w:r>
    </w:p>
    <w:p>
      <w:pPr>
        <w:spacing w:after="120"/>
        <w:ind w:firstLine="142"/>
        <w:jc w:val="center"/>
      </w:pPr>
      <w:r>
        <w:rPr>
          <w:rFonts w:ascii="Arial" w:cs="Arial" w:eastAsia="Arial" w:hAnsi="Arial"/>
          <w:sz w:val="24"/>
          <w:szCs w:val="24"/>
        </w:rPr>
        <w:t xml:space="preserve"/>
      </w:r>
    </w:p>
    <w:p>
      <w:pPr>
        <w:spacing w:after="120"/>
        <w:ind w:firstLine="142"/>
        <w:jc w:val="center"/>
      </w:pPr>
      <w:r>
        <w:rPr>
          <w:rFonts w:ascii="Arial" w:cs="Arial" w:eastAsia="Arial" w:hAnsi="Arial"/>
          <w:sz w:val="24"/>
          <w:szCs w:val="24"/>
        </w:rPr>
        <w:t xml:space="preserve"/>
      </w:r>
    </w:p>
    <w:p>
      <w:pPr>
        <w:spacing w:after="240" w:before="200"/>
        <w:ind w:firstLine="142"/>
        <w:jc w:val="center"/>
      </w:pPr>
      <w:r>
        <w:rPr>
          <w:rFonts w:ascii="Arial" w:cs="Arial" w:eastAsia="Arial" w:hAnsi="Arial"/>
          <w:b/>
          <w:bCs/>
          <w:sz w:val="32"/>
          <w:szCs w:val="32"/>
        </w:rPr>
        <w:t xml:space="preserve">Среднесрочный прогноз развития сельского хозяйства, лесного хозяйства и рыболовства </w:t>
      </w:r>
    </w:p>
    <w:p>
      <w:pPr>
        <w:spacing w:after="240" w:before="200"/>
        <w:ind w:firstLine="142"/>
        <w:jc w:val="center"/>
      </w:pPr>
      <w:r>
        <w:rPr>
          <w:rFonts w:ascii="Arial" w:cs="Arial" w:eastAsia="Arial" w:hAnsi="Arial"/>
          <w:b/>
          <w:bCs/>
          <w:sz w:val="32"/>
          <w:szCs w:val="32"/>
        </w:rPr>
        <w:t xml:space="preserve">Кыргызской Республики на 2016-2018 годы </w:t>
      </w:r>
    </w:p>
    <w:p>
      <w:pPr>
        <w:spacing w:after="120"/>
        <w:ind w:firstLine="142"/>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7"/>
        <w:gridCol w:w="1188"/>
        <w:gridCol w:w="990"/>
        <w:gridCol w:w="972"/>
        <w:gridCol w:w="891"/>
        <w:gridCol w:w="990"/>
      </w:tblGrid>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Сельское хозяйство, лесное хозяйство и рыболовство</w:t>
            </w:r>
            <w:r>
              <w:rPr>
                <w:rFonts w:ascii="Arial" w:cs="Arial" w:eastAsia="Arial" w:hAnsi="Arial"/>
                <w:b/>
                <w:bCs/>
                <w:sz w:val="24"/>
                <w:szCs w:val="24"/>
              </w:rPr>
              <w:t xml:space="preserve">, </w:t>
            </w:r>
            <w:r>
              <w:rPr>
                <w:rFonts w:ascii="Arial" w:cs="Arial" w:eastAsia="Arial" w:hAnsi="Arial"/>
                <w:sz w:val="24"/>
                <w:szCs w:val="24"/>
              </w:rPr>
              <w:t xml:space="preserve">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194394,6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213884,6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233026,2</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253801,0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276221,7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Растениеводство, </w:t>
            </w:r>
            <w:r>
              <w:rPr>
                <w:rFonts w:ascii="Arial" w:cs="Arial" w:eastAsia="Arial" w:hAnsi="Arial"/>
                <w:sz w:val="24"/>
                <w:szCs w:val="24"/>
              </w:rPr>
              <w:t xml:space="preserve">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98354,4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109591,2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120399,8</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131776,8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144578,0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Зерновые культуры </w:t>
            </w:r>
            <w:hyperlink w:history="1" r:id="rId61xmsdyq4np_14bpbbndv">
              <w:r>
                <w:rPr>
                  <w:rFonts w:ascii="Arial" w:cs="Arial" w:eastAsia="Arial" w:hAnsi="Arial"/>
                  <w:color w:val="1D4ED8"/>
                  <w:sz w:val="24"/>
                  <w:szCs w:val="24"/>
                  <w:u w:val="single"/>
                </w:rPr>
                <w:t xml:space="preserve">[13]</w:t>
              </w:r>
            </w:hyperlink>
            <w:r>
              <w:rPr>
                <w:rFonts w:ascii="Arial" w:cs="Arial" w:eastAsia="Arial" w:hAnsi="Arial"/>
                <w:sz w:val="24"/>
                <w:szCs w:val="24"/>
              </w:rPr>
              <w:t xml:space="preserve"> (в весе после доработки),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18018,9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28730,5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32384,0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38122,5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43225,0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117,9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1327,5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1553,0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1619,2</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1657,5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1729,0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Сахарная свекла (фабричная),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503,5</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465,0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532,5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615,0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775,5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88,8</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89,3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114,5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115,5</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114,6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103,4</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110,0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173,6</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155,0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177,5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205,0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235,0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Хлопок (в зачетном весе),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2380,4</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2576,3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3313,2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3740,0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4520,3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100,9</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110,7</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110,3</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118,2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107,2</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116,2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102,3</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102,3</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69,6</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77,1</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85,0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100,5</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Табак (в зачетном весе),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228,2</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275,1</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316,2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359,1</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429,3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68,2</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119,3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113,4</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112,5</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117,8</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109,5</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101,3</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100,9</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101,5</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6,75</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Масличные культуры,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1006,1</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1131,6</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1213,8</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1274,0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1350,0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82,1</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107,6</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103,6</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102,0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103,8</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104,5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102,9</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102,0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45,7</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49,2</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51,0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52,0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54,0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Картофель,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22886,0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23890,6</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25025,0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26528,6</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29050,0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1320,7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1327,3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1352,7</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1381,7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1452,5</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Овощи,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23269,7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23935,2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24967,8</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26227,2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28534,0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107,4</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917,7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920,6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945,8</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973,2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1045,2</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Бахчи продовольственные,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1873,2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2090,0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2274,8</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2422,7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2528,0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107,4</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236,4</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249,6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258,6</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Плоды и ягоды,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7773,3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8117,6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8520,9</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8979,0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103,7</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237,0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238,8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241,0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243,5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Виноград,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675,0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720,0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740,5</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766,3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806,4</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Прочее растениеводство</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11464,9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17659,3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21135,15</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22742,3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23859,6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99,5</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82,1</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84,6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181,2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120,2</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127,8</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Животноводство, млн сомов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92264,7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100509,1</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108849,9</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118257,7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127868,2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Скот и птица на убой (в живом весе), 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55975,5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60804,8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66197,7</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71864,1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77276,5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Скот и птица на убой (в живом весе),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369,0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376,5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384,2</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392,7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402,0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Молоко сырое, 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31465,0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34739,2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37550,0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41118,0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45115,5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Молоко сырое,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1445,5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1472,0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1502,0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1540,0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1583,0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Яйца, 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2886,9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3003,0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3108,6</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3235,0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Яйца, млн шт.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445,8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473,0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485,0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500,0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Шерсть, 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398,4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423,5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455,1</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502,0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537,6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90,4</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Шерсть, тыс. т</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Прочее животноводство</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1538,8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1538,65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1538,5</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1538,6</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1538,6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99,9</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99,9</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Услуги</w:t>
            </w:r>
            <w:hyperlink w:history="1" r:id="rIdnlukyum0bmhwo8sjnqcc2">
              <w:r>
                <w:rPr>
                  <w:rFonts w:ascii="Arial" w:cs="Arial" w:eastAsia="Arial" w:hAnsi="Arial"/>
                  <w:b/>
                  <w:bCs/>
                  <w:color w:val="1D4ED8"/>
                  <w:sz w:val="24"/>
                  <w:szCs w:val="24"/>
                  <w:u w:val="single"/>
                </w:rPr>
                <w:t xml:space="preserve">[14]</w:t>
              </w:r>
            </w:hyperlink>
            <w:r>
              <w:rPr>
                <w:rFonts w:ascii="Arial" w:cs="Arial" w:eastAsia="Arial" w:hAnsi="Arial"/>
                <w:b/>
                <w:bCs/>
                <w:sz w:val="24"/>
                <w:szCs w:val="24"/>
              </w:rPr>
              <w:t xml:space="preserve">,</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3445,3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3445,3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3446,3</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3445,3</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3445,3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Охота</w:t>
            </w:r>
            <w:r>
              <w:rPr>
                <w:rFonts w:ascii="Arial" w:cs="Arial" w:eastAsia="Arial" w:hAnsi="Arial"/>
                <w:sz w:val="24"/>
                <w:szCs w:val="24"/>
              </w:rPr>
              <w:t xml:space="preserve">, </w:t>
            </w:r>
            <w:r>
              <w:rPr>
                <w:rFonts w:ascii="Arial" w:cs="Arial" w:eastAsia="Arial" w:hAnsi="Arial"/>
                <w:sz w:val="24"/>
                <w:szCs w:val="24"/>
              </w:rPr>
              <w:t xml:space="preserve">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8,8</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8,8</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8,8</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Лесное хозяйство, </w:t>
            </w:r>
            <w:r>
              <w:rPr>
                <w:rFonts w:ascii="Arial" w:cs="Arial" w:eastAsia="Arial" w:hAnsi="Arial"/>
                <w:sz w:val="24"/>
                <w:szCs w:val="24"/>
              </w:rPr>
              <w:t xml:space="preserve">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256,4</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Рыбоводство, рыболовство</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65,0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65,0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65,0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65,0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65,0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bl>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142"/>
        <w:jc w:val="center"/>
      </w:pPr>
      <w:r>
        <w:rPr>
          <w:rFonts w:ascii="Arial" w:cs="Arial" w:eastAsia="Arial" w:hAnsi="Arial"/>
          <w:sz w:val="24"/>
          <w:szCs w:val="24"/>
        </w:rPr>
        <w:t xml:space="preserve"/>
      </w:r>
    </w:p>
    <w:p>
      <w:pPr>
        <w:spacing w:after="120"/>
        <w:ind w:firstLine="142"/>
        <w:jc w:val="center"/>
      </w:pPr>
      <w:r>
        <w:rPr>
          <w:rFonts w:ascii="Arial" w:cs="Arial" w:eastAsia="Arial" w:hAnsi="Arial"/>
          <w:sz w:val="24"/>
          <w:szCs w:val="24"/>
        </w:rPr>
        <w:t xml:space="preserve"/>
      </w:r>
    </w:p>
    <w:p>
      <w:pPr>
        <w:spacing w:after="240" w:before="200"/>
        <w:ind w:firstLine="142"/>
        <w:jc w:val="center"/>
      </w:pPr>
      <w:r>
        <w:rPr>
          <w:rFonts w:ascii="Arial" w:cs="Arial" w:eastAsia="Arial" w:hAnsi="Arial"/>
          <w:b/>
          <w:bCs/>
          <w:sz w:val="32"/>
          <w:szCs w:val="32"/>
        </w:rPr>
        <w:t xml:space="preserve">Среднесрочный прогноз развития промышленности Кыргызской Республики на 2016-2018 годы, </w:t>
      </w:r>
    </w:p>
    <w:p>
      <w:pPr>
        <w:spacing w:after="240" w:before="200"/>
        <w:jc w:val="center"/>
      </w:pPr>
      <w:r>
        <w:rPr>
          <w:rFonts w:ascii="Arial" w:cs="Arial" w:eastAsia="Arial" w:hAnsi="Arial"/>
          <w:b/>
          <w:bCs/>
          <w:sz w:val="32"/>
          <w:szCs w:val="32"/>
        </w:rPr>
        <w:t xml:space="preserve">без учета стоимости переработки давальческого сырья, с учетом покупной электроэнергии </w:t>
      </w:r>
    </w:p>
    <w:p>
      <w:pPr>
        <w:spacing w:after="120"/>
        <w:ind w:firstLine="142"/>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86"/>
        <w:gridCol w:w="1035"/>
        <w:gridCol w:w="960"/>
        <w:gridCol w:w="932"/>
        <w:gridCol w:w="932"/>
        <w:gridCol w:w="932"/>
      </w:tblGrid>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Валовая продукция промышленности в действующих ценах, </w:t>
            </w:r>
            <w:r>
              <w:rPr>
                <w:rFonts w:ascii="Arial" w:cs="Arial" w:eastAsia="Arial" w:hAnsi="Arial"/>
                <w:sz w:val="24"/>
                <w:szCs w:val="24"/>
              </w:rPr>
              <w:t xml:space="preserve">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167 552,2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166 753,4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184 460,8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206 035,8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228 158,1</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 </w:t>
            </w:r>
            <w:r>
              <w:rPr>
                <w:rFonts w:ascii="Arial" w:cs="Arial" w:eastAsia="Arial" w:hAnsi="Arial"/>
                <w:sz w:val="24"/>
                <w:szCs w:val="24"/>
              </w:rPr>
              <w:t xml:space="preserve">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90 452,2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99 022,5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109 805,8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123 277,3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142 813,4</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111,6</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I, Добыча полезных ископаемых,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5 832,3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6 054,5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6 504,7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6 973,6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7 338,2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r>
              <w:rPr>
                <w:rFonts w:ascii="Arial" w:cs="Arial" w:eastAsia="Arial" w:hAnsi="Arial"/>
                <w:sz w:val="24"/>
                <w:szCs w:val="24"/>
              </w:rPr>
              <w:t xml:space="preserve">Добыча каменного угля и бурого угля (лигнита),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2115,3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2191,4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2371,0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2570,6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2753,2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r>
              <w:rPr>
                <w:rFonts w:ascii="Arial" w:cs="Arial" w:eastAsia="Arial" w:hAnsi="Arial"/>
                <w:sz w:val="24"/>
                <w:szCs w:val="24"/>
              </w:rPr>
              <w:t xml:space="preserve">Добыча сырой нефти и природного газа,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2039,5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1943,9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2179,2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2240,2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r>
              <w:rPr>
                <w:rFonts w:ascii="Arial" w:cs="Arial" w:eastAsia="Arial" w:hAnsi="Arial"/>
                <w:sz w:val="24"/>
                <w:szCs w:val="24"/>
              </w:rPr>
              <w:t xml:space="preserve">Добыча металлических руд,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762,1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969,1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1178,0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1267,7</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138,6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r>
              <w:rPr>
                <w:rFonts w:ascii="Arial" w:cs="Arial" w:eastAsia="Arial" w:hAnsi="Arial"/>
                <w:sz w:val="24"/>
                <w:szCs w:val="24"/>
              </w:rPr>
              <w:t xml:space="preserve">Добыча прочих полезных ископаемых,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915,4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950,2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1077,1</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II, Обрабатывающие производства,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136 959,8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134 612,2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149 436,3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167 996,6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186 134,4</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22865,0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25353,6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27736,5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30782,0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33561,4</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5521,9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4857,9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5259,4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6021,0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6989,4</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2001,0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2164,2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2260,5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2381,9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2675,3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3606,9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5660,2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8802,6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12836,0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22434,5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229,6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181,6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 Производство химической продукции,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1220,6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1341,0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1466,3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1645,2</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171,3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215,9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275,4</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16765,5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17011,9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17699,2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18134,0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18421,1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80533,3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73716,5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81533,9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91360,3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95213,3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79,0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1850,6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1906,4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1956,3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2011,4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2051,7</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285,4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287,7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291,1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 Производство транспортных средств,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746,4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760,7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766,8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774,5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1364,2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1432,9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1549,7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1676,0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1760,5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23 282,9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24 498,4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26 818,4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29 235,8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32 748,9</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1 477,3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1 588,3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1 701,4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1 829,8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1 936,6</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r>
    </w:tbl>
    <w:p>
      <w:pPr>
        <w:spacing w:after="120"/>
        <w:jc w:val="both"/>
      </w:pPr>
      <w:r>
        <w:rPr>
          <w:rFonts w:ascii="Arial" w:cs="Arial" w:eastAsia="Arial" w:hAnsi="Arial"/>
          <w:sz w:val="24"/>
          <w:szCs w:val="24"/>
        </w:rPr>
        <w:t xml:space="preserve"/>
      </w:r>
    </w:p>
    <w:p>
      <w:pPr>
        <w:spacing w:after="120"/>
        <w:ind w:firstLine="9071"/>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ind w:firstLine="142"/>
        <w:jc w:val="center"/>
      </w:pPr>
      <w:r>
        <w:rPr>
          <w:rFonts w:ascii="Arial" w:cs="Arial" w:eastAsia="Arial" w:hAnsi="Arial"/>
          <w:b/>
          <w:bCs/>
          <w:sz w:val="32"/>
          <w:szCs w:val="32"/>
        </w:rPr>
        <w:t xml:space="preserve">Среднесрочный прогноз развития промышленности Кыргызской Республики на 2016-2018 годы, </w:t>
      </w:r>
    </w:p>
    <w:p>
      <w:pPr>
        <w:spacing w:after="240" w:before="200"/>
        <w:ind w:firstLine="142"/>
        <w:jc w:val="center"/>
      </w:pPr>
      <w:r>
        <w:rPr>
          <w:rFonts w:ascii="Arial" w:cs="Arial" w:eastAsia="Arial" w:hAnsi="Arial"/>
          <w:b/>
          <w:bCs/>
          <w:sz w:val="32"/>
          <w:szCs w:val="32"/>
        </w:rPr>
        <w:t xml:space="preserve">с учетом стоимости переработки давальческого сырья, без учета покупной электроэнергии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86"/>
        <w:gridCol w:w="1035"/>
        <w:gridCol w:w="960"/>
        <w:gridCol w:w="932"/>
        <w:gridCol w:w="932"/>
        <w:gridCol w:w="932"/>
      </w:tblGrid>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Валовая продукция промышленности в действующих ценах, </w:t>
            </w:r>
            <w:r>
              <w:rPr>
                <w:rFonts w:ascii="Arial" w:cs="Arial" w:eastAsia="Arial" w:hAnsi="Arial"/>
                <w:sz w:val="24"/>
                <w:szCs w:val="24"/>
              </w:rPr>
              <w:t xml:space="preserve">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169 690,4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169 331,6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188 175,0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211 295,9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236 543,2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 </w:t>
            </w:r>
            <w:r>
              <w:rPr>
                <w:rFonts w:ascii="Arial" w:cs="Arial" w:eastAsia="Arial" w:hAnsi="Arial"/>
                <w:sz w:val="24"/>
                <w:szCs w:val="24"/>
              </w:rPr>
              <w:t xml:space="preserve">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92 590,4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101 600,7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113 519,9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128 537,4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151198,5</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I, Добыча полезных ископаемых,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5832,4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6054,7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6504,8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6973,8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7338,4</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r>
              <w:rPr>
                <w:rFonts w:ascii="Arial" w:cs="Arial" w:eastAsia="Arial" w:hAnsi="Arial"/>
                <w:sz w:val="24"/>
                <w:szCs w:val="24"/>
              </w:rPr>
              <w:t xml:space="preserve">Добыча каменного угля и бурого угля (лигнита),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2115,3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2191,4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2371,0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2570,6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2753,2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r>
              <w:rPr>
                <w:rFonts w:ascii="Arial" w:cs="Arial" w:eastAsia="Arial" w:hAnsi="Arial"/>
                <w:sz w:val="24"/>
                <w:szCs w:val="24"/>
              </w:rPr>
              <w:t xml:space="preserve">Добыча сырой нефти и природного газа,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2039,5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1943,9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2179,2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2240,2</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r>
              <w:rPr>
                <w:rFonts w:ascii="Arial" w:cs="Arial" w:eastAsia="Arial" w:hAnsi="Arial"/>
                <w:sz w:val="24"/>
                <w:szCs w:val="24"/>
              </w:rPr>
              <w:t xml:space="preserve">Добыча металлических руд,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762,2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969,2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1178,2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1267,9</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138,6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r>
              <w:rPr>
                <w:rFonts w:ascii="Arial" w:cs="Arial" w:eastAsia="Arial" w:hAnsi="Arial"/>
                <w:sz w:val="24"/>
                <w:szCs w:val="24"/>
              </w:rPr>
              <w:t xml:space="preserve">Добыча прочих полезных ископаемых,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915,4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950,2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1077,1</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r>
      <w:tr>
        <w:tc>
          <w:tcPr>
            <w:tcW w:type="dxa" w:w="53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II, Обрабатывающие производства,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146279,6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144655,0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161244,1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181939,2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204289,7</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29311,4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31998,9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34839,6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38297,5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41360,7</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6618,1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5774,3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6251,5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7156,7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8307,9</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84,3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2185,1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2363,4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2468,5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2921,5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5112,3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7850,8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12209,4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17803,8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31117,3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186,0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137,1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 Производство химической продукции,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1220,6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1341,0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1466,3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1645,2</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171,3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215,9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235,6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275,3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16786,6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17033,3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17721,5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18156,9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18444,3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80533,3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73716,5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81533,9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91360,3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95213,3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30,4</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79,0</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1853,8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1909,8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1959,8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2015,0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2055,3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285,4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287,7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291,1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294,9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300,8</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 Производство транспортных средств,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746,4</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760,7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766,8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774,5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1427,6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1499,6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1621,8</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1754,0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1842,4</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111,7</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16101,1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17035,2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18713,0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20519,6</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22947,1</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107,8</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99,2</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95,5</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1477,3</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1586,7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1713,0</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1863,3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1968,0</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107,1</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r>
      <w:tr>
        <w:tc>
          <w:tcPr>
            <w:tcW w:type="dxa" w:w="538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82,9</w:t>
            </w:r>
          </w:p>
        </w:tc>
        <w:tc>
          <w:tcPr>
            <w:tcW w:type="dxa" w:w="9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производства натуральных видов продукции </w:t>
      </w:r>
    </w:p>
    <w:p>
      <w:pPr>
        <w:spacing w:after="240" w:before="200"/>
        <w:jc w:val="center"/>
      </w:pPr>
      <w:r>
        <w:rPr>
          <w:rFonts w:ascii="Arial" w:cs="Arial" w:eastAsia="Arial" w:hAnsi="Arial"/>
          <w:b/>
          <w:bCs/>
          <w:sz w:val="32"/>
          <w:szCs w:val="32"/>
        </w:rPr>
        <w:t xml:space="preserve">промышленности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9"/>
        <w:gridCol w:w="1099"/>
        <w:gridCol w:w="999"/>
        <w:gridCol w:w="1024"/>
        <w:gridCol w:w="969"/>
        <w:gridCol w:w="1048"/>
      </w:tblGrid>
      <w:tr>
        <w:tc>
          <w:tcPr>
            <w:tcW w:type="dxa" w:w="503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Добыча полезных ископаемых</w:t>
            </w:r>
          </w:p>
        </w:tc>
        <w:tc>
          <w:tcPr>
            <w:tcW w:type="dxa" w:w="10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1777,4</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2100,0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Сырая нефть,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82,9</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33,8</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Природные пески,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806,8</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Гранулы, каменная крошка, галька, гравий, щебень или дробленный камень,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1165,0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Глина и каолин,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208,3</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215,0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Обрабатывающие производства</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Масло растительное,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13483,8</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14000,0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14300,0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14800,0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15200,0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 тыс. дал</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1289,7</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1887,6</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1963,1</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2041,6</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2062,0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 тыс. дал</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2703,9</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2842,4</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3098,3</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3377,1</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3410,9</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3361,7</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3395,3</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3429,3</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3463,6</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3498,2</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Напитки безалкогольные, тыс. дал</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11080,7</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11191,5</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11303,4</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11416,5</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11530,6</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Мука из зерновых культур,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319,0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458,0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482,7</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487,5</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Сахар-песок,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20,1</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20,5</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21,5</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Сигареты, млн шт.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497,6</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Волокно хлопковое кардочесанное и гребнечесанное,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20,2</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20,6</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20,8</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Ткани готовые всех видов, тыс. м</w:t>
            </w:r>
            <w:r>
              <w:rPr>
                <w:rFonts w:ascii="Arial" w:cs="Arial" w:eastAsia="Arial" w:hAnsi="Arial"/>
                <w:sz w:val="24"/>
                <w:szCs w:val="24"/>
              </w:rPr>
              <w:t xml:space="preserve">2</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23,6</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5521,9</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4857,9</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5259,4</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6021,0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6989,4</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23,5</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Тракторные прицепы, шт. </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Радиаторы, тыс. шт.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1908,0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2005,0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2120,0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2300,0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2400,0</w:t>
            </w:r>
          </w:p>
        </w:tc>
      </w:tr>
      <w:tr>
        <w:tc>
          <w:tcPr>
            <w:tcW w:type="dxa" w:w="50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Цемент, портландцемент,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1727,5</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1750,0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Золото,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17,6</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19,1</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21,7</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22,8</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Сурьма,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Ртуть,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46,2</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55,4</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55,4</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55,4</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55,4</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Моторное топливо,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63,7</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130,0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170,0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275,0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Дизельное топливо,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128,0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 тыс. 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51,1</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Лампы накаливания, млн шт.</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191,6</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192,0</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193,0</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195,0</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195,0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Обеспечение (снабжение) электроэнергией, газом, паром и кондиционированным воздухом</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 млн кВт. час</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14639,4</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13172,7</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13587,7</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13724,2</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15707,0</w:t>
            </w:r>
          </w:p>
        </w:tc>
      </w:tr>
      <w:tr>
        <w:tc>
          <w:tcPr>
            <w:tcW w:type="dxa" w:w="50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Тепловая энергия, Гкал</w:t>
            </w:r>
          </w:p>
        </w:tc>
        <w:tc>
          <w:tcPr>
            <w:tcW w:type="dxa" w:w="10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3129,0</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2844,5</w:t>
            </w:r>
          </w:p>
        </w:tc>
        <w:tc>
          <w:tcPr>
            <w:tcW w:type="dxa" w:w="10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2840,5</w:t>
            </w:r>
          </w:p>
        </w:tc>
        <w:tc>
          <w:tcPr>
            <w:tcW w:type="dxa" w:w="9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2841,5</w:t>
            </w:r>
          </w:p>
        </w:tc>
        <w:tc>
          <w:tcPr>
            <w:tcW w:type="dxa" w:w="10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2833,5</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производства золота в </w:t>
      </w:r>
    </w:p>
    <w:p>
      <w:pPr>
        <w:spacing w:after="240" w:before="200"/>
        <w:jc w:val="center"/>
      </w:pPr>
      <w:r>
        <w:rPr>
          <w:rFonts w:ascii="Arial" w:cs="Arial" w:eastAsia="Arial" w:hAnsi="Arial"/>
          <w:b/>
          <w:bCs/>
          <w:sz w:val="32"/>
          <w:szCs w:val="32"/>
        </w:rPr>
        <w:t xml:space="preserve">Кыргызской Республике на 2016-2018 годы</w:t>
      </w:r>
      <w:hyperlink w:history="1" r:id="rIdrx_xvk_tco2j7yws3e8x9">
        <w:r>
          <w:rPr>
            <w:rFonts w:ascii="Arial" w:cs="Arial" w:eastAsia="Arial" w:hAnsi="Arial"/>
            <w:b/>
            <w:bCs/>
            <w:color w:val="1D4ED8"/>
            <w:sz w:val="32"/>
            <w:szCs w:val="32"/>
            <w:u w:val="single"/>
          </w:rPr>
          <w:t xml:space="preserve">[15]</w:t>
        </w:r>
      </w:hyperlink>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2"/>
        <w:gridCol w:w="1437"/>
        <w:gridCol w:w="1317"/>
        <w:gridCol w:w="1197"/>
        <w:gridCol w:w="1078"/>
        <w:gridCol w:w="1317"/>
      </w:tblGrid>
      <w:tr>
        <w:tc>
          <w:tcPr>
            <w:tcW w:type="dxa" w:w="3832"/>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Производство золота, </w:t>
            </w:r>
          </w:p>
          <w:p>
            <w:pPr>
              <w:jc w:val="left"/>
            </w:pPr>
            <w:r>
              <w:rPr>
                <w:rFonts w:ascii="Arial" w:cs="Arial" w:eastAsia="Arial" w:hAnsi="Arial"/>
                <w:b/>
                <w:bCs/>
                <w:sz w:val="24"/>
                <w:szCs w:val="24"/>
              </w:rPr>
              <w:t xml:space="preserve">сплав Доре, т</w:t>
            </w:r>
          </w:p>
        </w:tc>
        <w:tc>
          <w:tcPr>
            <w:tcW w:type="dxa" w:w="143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18,0</w:t>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17,6</w:t>
            </w:r>
          </w:p>
        </w:tc>
        <w:tc>
          <w:tcPr>
            <w:tcW w:type="dxa" w:w="119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19,1</w:t>
            </w:r>
          </w:p>
        </w:tc>
        <w:tc>
          <w:tcPr>
            <w:tcW w:type="dxa" w:w="107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21,7</w:t>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22,8</w:t>
            </w:r>
          </w:p>
        </w:tc>
      </w:tr>
      <w:tr>
        <w:tc>
          <w:tcPr>
            <w:tcW w:type="dxa" w:w="38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3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8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Закрытое акционерное общество «Кумтор Голд Компани»</w:t>
            </w:r>
          </w:p>
        </w:tc>
        <w:tc>
          <w:tcPr>
            <w:tcW w:type="dxa" w:w="143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38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золота, сплав Доре, т</w:t>
            </w:r>
          </w:p>
        </w:tc>
        <w:tc>
          <w:tcPr>
            <w:tcW w:type="dxa" w:w="143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17657,0</w:t>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16100,0</w:t>
            </w:r>
          </w:p>
        </w:tc>
        <w:tc>
          <w:tcPr>
            <w:tcW w:type="dxa" w:w="119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17320,0</w:t>
            </w:r>
          </w:p>
        </w:tc>
        <w:tc>
          <w:tcPr>
            <w:tcW w:type="dxa" w:w="107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19200,0</w:t>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19800,0</w:t>
            </w:r>
          </w:p>
        </w:tc>
      </w:tr>
      <w:tr>
        <w:tc>
          <w:tcPr>
            <w:tcW w:type="dxa" w:w="38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43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94,6</w:t>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91,2</w:t>
            </w:r>
          </w:p>
        </w:tc>
        <w:tc>
          <w:tcPr>
            <w:tcW w:type="dxa" w:w="119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107,6</w:t>
            </w:r>
          </w:p>
        </w:tc>
        <w:tc>
          <w:tcPr>
            <w:tcW w:type="dxa" w:w="107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110,9</w:t>
            </w:r>
          </w:p>
        </w:tc>
        <w:tc>
          <w:tcPr>
            <w:tcW w:type="dxa" w:w="1317"/>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103,1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развития сферы услуг в </w:t>
      </w:r>
    </w:p>
    <w:p>
      <w:pPr>
        <w:spacing w:after="240" w:before="200"/>
        <w:jc w:val="center"/>
      </w:pPr>
      <w:r>
        <w:rPr>
          <w:rFonts w:ascii="Arial" w:cs="Arial" w:eastAsia="Arial" w:hAnsi="Arial"/>
          <w:b/>
          <w:bCs/>
          <w:sz w:val="32"/>
          <w:szCs w:val="32"/>
        </w:rPr>
        <w:t xml:space="preserve">Кыргызской Республике </w:t>
      </w:r>
      <w:r>
        <w:rPr>
          <w:rFonts w:ascii="Arial" w:cs="Arial" w:eastAsia="Arial" w:hAnsi="Arial"/>
          <w:b/>
          <w:bCs/>
          <w:sz w:val="32"/>
          <w:szCs w:val="32"/>
        </w:rPr>
        <w:t xml:space="preserve">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4"/>
        <w:gridCol w:w="1046"/>
        <w:gridCol w:w="971"/>
        <w:gridCol w:w="972"/>
        <w:gridCol w:w="971"/>
        <w:gridCol w:w="993"/>
      </w:tblGrid>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Валовой выпуск сферы услуг</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333 241,6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376 688,3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420 534,2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474 108,2</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534 408,4</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r>
      <w:tr>
        <w:tc>
          <w:tcPr>
            <w:tcW w:type="dxa" w:w="52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b/>
                <w:bCs/>
                <w:sz w:val="24"/>
                <w:szCs w:val="24"/>
              </w:rPr>
              <w:t xml:space="preserve">, </w:t>
            </w:r>
            <w:r>
              <w:rPr>
                <w:rFonts w:ascii="Arial" w:cs="Arial" w:eastAsia="Arial" w:hAnsi="Arial"/>
                <w:sz w:val="24"/>
                <w:szCs w:val="24"/>
              </w:rPr>
              <w:t xml:space="preserve">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106 106,6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125 700,1</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144 440,0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166 069,5</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192 449,2</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Транспортная деятельность и хранение грузов</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41 850,1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48 246,0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53 787,5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63 587,3</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74 649,3</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106,6</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110,9</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Гостиницы и рестораны,</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17 607,4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20 726,7</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23 768,4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27 463,4</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32 868,7</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109,0</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Информация и связь</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29 765,5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30 393,3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30 854,9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31 288,1</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31 664,2</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Финансовое посредничество и страхование</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21 556,5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23 522,0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25 530,8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28 027,5</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30 554,6</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Операции с недвижимым имуществом,</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14 298,1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15 785,1</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17 450,4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19 669,4</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21 799,7</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111,6</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Профессиональная, научная и техническая деятельность,</w:t>
            </w:r>
            <w:r>
              <w:rPr>
                <w:rFonts w:ascii="Arial" w:cs="Arial" w:eastAsia="Arial" w:hAnsi="Arial"/>
                <w:sz w:val="24"/>
                <w:szCs w:val="24"/>
              </w:rPr>
              <w:t xml:space="preserve"> млн сомов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11 386,8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12 707,1</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14 375,7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15 625,7</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16 860,0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Административная и вспомогательная деятельность</w:t>
            </w:r>
            <w:r>
              <w:rPr>
                <w:rFonts w:ascii="Arial" w:cs="Arial" w:eastAsia="Arial" w:hAnsi="Arial"/>
                <w:sz w:val="24"/>
                <w:szCs w:val="24"/>
              </w:rPr>
              <w:t xml:space="preserve">, млн сомов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2 764,8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3 071,1</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3 334,6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3 583,5</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3 808,1</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95,2</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106,4</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Государственное управление и оборона; обязательное социальное обеспечение,</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31 362,8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34 464,6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38 433,7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43 093,4</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46 979,3</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111,9</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Образование,</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25 840,9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27 666,5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29 909,5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32 274,7</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34 728,4</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106,0</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Здравоохранение и социальное обслуживание населения,</w:t>
            </w:r>
            <w:r>
              <w:rPr>
                <w:rFonts w:ascii="Arial" w:cs="Arial" w:eastAsia="Arial" w:hAnsi="Arial"/>
                <w:sz w:val="24"/>
                <w:szCs w:val="24"/>
              </w:rPr>
              <w:t xml:space="preserve"> млн сом</w:t>
            </w:r>
            <w:r>
              <w:rPr>
                <w:rFonts w:ascii="Arial" w:cs="Arial" w:eastAsia="Arial" w:hAnsi="Arial"/>
                <w:sz w:val="24"/>
                <w:szCs w:val="24"/>
              </w:rPr>
              <w:t xml:space="preserve">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17 720,5</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20 216,6</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23 253,7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26 820,7</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30 033,8</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113,3</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Искусство, развлечения и отдых,</w:t>
            </w:r>
            <w:r>
              <w:rPr>
                <w:rFonts w:ascii="Arial" w:cs="Arial" w:eastAsia="Arial" w:hAnsi="Arial"/>
                <w:sz w:val="24"/>
                <w:szCs w:val="24"/>
              </w:rPr>
              <w:t xml:space="preserve"> млн сомов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4 729,0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5 287,3</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5 846,1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6 401,8</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7 045,7</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138,6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109,4</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Прочая обслуживающая деятельность,</w:t>
            </w:r>
            <w:r>
              <w:rPr>
                <w:rFonts w:ascii="Arial" w:cs="Arial" w:eastAsia="Arial" w:hAnsi="Arial"/>
                <w:sz w:val="24"/>
                <w:szCs w:val="24"/>
              </w:rPr>
              <w:t xml:space="preserve"> млн сомов</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8 252,6</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8 901,9</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9 548,8</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10 203,2</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10 967,3</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c>
          <w:tcPr>
            <w:tcW w:type="dxa" w:w="9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99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0</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объема оказанных рыночных услуг </w:t>
      </w:r>
    </w:p>
    <w:p>
      <w:pPr>
        <w:spacing w:after="240" w:before="200"/>
        <w:jc w:val="center"/>
      </w:pPr>
      <w:r>
        <w:rPr>
          <w:rFonts w:ascii="Arial" w:cs="Arial" w:eastAsia="Arial" w:hAnsi="Arial"/>
          <w:b/>
          <w:bCs/>
          <w:sz w:val="32"/>
          <w:szCs w:val="32"/>
        </w:rPr>
        <w:t xml:space="preserve">Кыргызской Республики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9"/>
        <w:gridCol w:w="1350"/>
        <w:gridCol w:w="1175"/>
        <w:gridCol w:w="1043"/>
        <w:gridCol w:w="1015"/>
        <w:gridCol w:w="1166"/>
      </w:tblGrid>
      <w:tr>
        <w:tc>
          <w:tcPr>
            <w:tcW w:type="dxa" w:w="442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Объем оказанных рыночных услуг,</w:t>
            </w:r>
            <w:r>
              <w:rPr>
                <w:rFonts w:ascii="Arial" w:cs="Arial" w:eastAsia="Arial" w:hAnsi="Arial"/>
                <w:sz w:val="24"/>
                <w:szCs w:val="24"/>
              </w:rPr>
              <w:t xml:space="preserve"> млн сомов</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515 240,1</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596 617,5</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674 572,3</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765 527,9</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874 318,4</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104,4</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110,9</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b/>
                <w:bCs/>
                <w:sz w:val="24"/>
                <w:szCs w:val="24"/>
              </w:rPr>
              <w:t xml:space="preserve">,</w:t>
            </w:r>
            <w:r>
              <w:rPr>
                <w:rFonts w:ascii="Arial" w:cs="Arial" w:eastAsia="Arial" w:hAnsi="Arial"/>
                <w:sz w:val="24"/>
                <w:szCs w:val="24"/>
              </w:rPr>
              <w:t xml:space="preserve"> млн сомов</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384741,8</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453708,1</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518928,9</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593863,3</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685001,3</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106,0</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112,0</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109,0</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Гостиницы и рестораны, млн сомов</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17437,1</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20450,7</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23364,3</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26896,1</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32072,2</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109,6</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106,0</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109,6</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109,0</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Информация и связь, млн сомов</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32023,7</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32699,1</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33195,8</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33661,8</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34066,5</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101,0</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Прочие,</w:t>
            </w:r>
            <w:r>
              <w:rPr>
                <w:rFonts w:ascii="Arial" w:cs="Arial" w:eastAsia="Arial" w:hAnsi="Arial"/>
                <w:sz w:val="24"/>
                <w:szCs w:val="24"/>
              </w:rPr>
              <w:t xml:space="preserve"> млн сомов</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81037,5</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89759,7</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99083,3</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111106,7</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123178,6</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98,2</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97,7</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111,5</w:t>
            </w:r>
          </w:p>
        </w:tc>
        <w:tc>
          <w:tcPr>
            <w:tcW w:type="dxa" w:w="117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109,6</w:t>
            </w:r>
          </w:p>
        </w:tc>
        <w:tc>
          <w:tcPr>
            <w:tcW w:type="dxa" w:w="10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w:t>
            </w:r>
          </w:p>
        </w:tc>
        <w:tc>
          <w:tcPr>
            <w:tcW w:type="dxa" w:w="11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113,4</w:t>
            </w:r>
          </w:p>
        </w:tc>
      </w:tr>
    </w:tbl>
    <w:p>
      <w:pPr>
        <w:spacing w:after="120"/>
        <w:jc w:val="center"/>
      </w:pPr>
      <w:r>
        <w:rPr>
          <w:rFonts w:ascii="Arial" w:cs="Arial" w:eastAsia="Arial" w:hAnsi="Arial"/>
          <w:sz w:val="24"/>
          <w:szCs w:val="24"/>
        </w:rPr>
        <w:t xml:space="preserve">Приложение 11</w:t>
      </w:r>
    </w:p>
    <w:p>
      <w:pPr>
        <w:spacing w:after="120"/>
        <w:ind w:firstLine="9071"/>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объема инвестиций в основной капитал в </w:t>
      </w:r>
    </w:p>
    <w:p>
      <w:pPr>
        <w:spacing w:after="120"/>
        <w:jc w:val="center"/>
      </w:pPr>
      <w:r>
        <w:rPr>
          <w:rFonts w:ascii="Arial" w:cs="Arial" w:eastAsia="Arial" w:hAnsi="Arial"/>
          <w:b/>
          <w:bCs/>
          <w:sz w:val="24"/>
          <w:szCs w:val="24"/>
        </w:rPr>
        <w:t xml:space="preserve">Кыргызской Республике</w:t>
      </w:r>
      <w:r>
        <w:rPr>
          <w:rFonts w:ascii="Arial" w:cs="Arial" w:eastAsia="Arial" w:hAnsi="Arial"/>
          <w:sz w:val="24"/>
          <w:szCs w:val="24"/>
        </w:rPr>
        <w:t xml:space="preserve"> </w:t>
      </w:r>
      <w:r>
        <w:rPr>
          <w:rFonts w:ascii="Arial" w:cs="Arial" w:eastAsia="Arial" w:hAnsi="Arial"/>
          <w:b/>
          <w:bCs/>
          <w:sz w:val="24"/>
          <w:szCs w:val="24"/>
        </w:rPr>
        <w:t xml:space="preserve">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4"/>
        <w:gridCol w:w="1043"/>
        <w:gridCol w:w="1188"/>
        <w:gridCol w:w="1013"/>
        <w:gridCol w:w="867"/>
        <w:gridCol w:w="854"/>
      </w:tblGrid>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Инвестиции в основной капитал,</w:t>
            </w:r>
            <w:r>
              <w:rPr>
                <w:rFonts w:ascii="Arial" w:cs="Arial" w:eastAsia="Arial" w:hAnsi="Arial"/>
                <w:sz w:val="24"/>
                <w:szCs w:val="24"/>
              </w:rPr>
              <w:t xml:space="preserve"> млн сомов</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105821,8</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122631,5</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138788,7</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154036,5</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175290,5</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Внутренние инвестиции</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62908,0</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67281,9</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74373,4</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80811,6</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89765,6</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113,7</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3217,7</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4057,0</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4452,0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4773,8</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5573,8</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Местный бюджет</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884,7</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926,1</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1070,4</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1123,1</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1215,1</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предприятий и организаций</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35607,8</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42121,8</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46908,9</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50289,6</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56289,6</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Кредиты банков</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574,5</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615,6</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511,2</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641,5</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703,5</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22623,2</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19561,4</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21430,9</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23983,6</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25983,6</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Внешние инвестиции</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42913,8</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55349,6</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64415,3</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73224,9</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85524,9</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135,6</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117,7</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Иностранные кредиты</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32940,7</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42976,5</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48219,7</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55318,9</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62518,9</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Прямые иностранные инвестиции</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7637,4</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9539,3</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12617,2</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14107,6</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19107,6</w:t>
            </w:r>
          </w:p>
        </w:tc>
      </w:tr>
      <w:tr>
        <w:tc>
          <w:tcPr>
            <w:tcW w:type="dxa" w:w="52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Иностранные гранты и гуманитарная помощь</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2335,8</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2833,8</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3578,4</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3798,4</w:t>
            </w:r>
          </w:p>
        </w:tc>
        <w:tc>
          <w:tcPr>
            <w:tcW w:type="dxa" w:w="85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3898,4</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экспорта и импорта товаров и услуг в </w:t>
      </w:r>
    </w:p>
    <w:p>
      <w:pPr>
        <w:spacing w:after="240" w:before="200"/>
        <w:jc w:val="center"/>
      </w:pPr>
      <w:r>
        <w:rPr>
          <w:rFonts w:ascii="Arial" w:cs="Arial" w:eastAsia="Arial" w:hAnsi="Arial"/>
          <w:b/>
          <w:bCs/>
          <w:sz w:val="32"/>
          <w:szCs w:val="32"/>
        </w:rPr>
        <w:t xml:space="preserve">Кыргызской Республике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1"/>
        <w:gridCol w:w="1648"/>
        <w:gridCol w:w="1165"/>
        <w:gridCol w:w="936"/>
        <w:gridCol w:w="1074"/>
        <w:gridCol w:w="987"/>
        <w:gridCol w:w="987"/>
      </w:tblGrid>
      <w:tr>
        <w:tc>
          <w:tcPr>
            <w:tcW w:type="dxa" w:w="3381"/>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64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Единица измерения</w:t>
            </w:r>
          </w:p>
        </w:tc>
        <w:tc>
          <w:tcPr>
            <w:tcW w:type="dxa" w:w="116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2014 год</w:t>
            </w:r>
          </w:p>
        </w:tc>
        <w:tc>
          <w:tcPr>
            <w:tcW w:type="dxa" w:w="93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2015 год</w:t>
            </w:r>
          </w:p>
        </w:tc>
        <w:tc>
          <w:tcPr>
            <w:tcW w:type="dxa" w:w="10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2016 год</w:t>
            </w:r>
          </w:p>
        </w:tc>
        <w:tc>
          <w:tcPr>
            <w:tcW w:type="dxa" w:w="98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2017 год</w:t>
            </w:r>
          </w:p>
        </w:tc>
        <w:tc>
          <w:tcPr>
            <w:tcW w:type="dxa" w:w="98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предв. факт</w:t>
            </w:r>
          </w:p>
        </w:tc>
        <w:tc>
          <w:tcPr>
            <w:tcW w:type="dxa" w:w="93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ожид.</w:t>
            </w:r>
          </w:p>
        </w:tc>
        <w:tc>
          <w:tcPr>
            <w:tcW w:type="dxa" w:w="107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c>
          <w:tcPr>
            <w:tcW w:type="dxa" w:w="9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c>
          <w:tcPr>
            <w:tcW w:type="dxa" w:w="9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1879,9</w:t>
            </w:r>
          </w:p>
        </w:tc>
        <w:tc>
          <w:tcPr>
            <w:tcW w:type="dxa" w:w="936"/>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1880,0</w:t>
            </w:r>
          </w:p>
        </w:tc>
        <w:tc>
          <w:tcPr>
            <w:tcW w:type="dxa" w:w="1074"/>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1950,0</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2050,0</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2150,0</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93,7</w:t>
            </w:r>
          </w:p>
        </w:tc>
        <w:tc>
          <w:tcPr>
            <w:tcW w:type="dxa" w:w="936"/>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1074"/>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103,7</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105,1</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104,9</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5732,4</w:t>
            </w:r>
          </w:p>
        </w:tc>
        <w:tc>
          <w:tcPr>
            <w:tcW w:type="dxa" w:w="936"/>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5800,0</w:t>
            </w:r>
          </w:p>
        </w:tc>
        <w:tc>
          <w:tcPr>
            <w:tcW w:type="dxa" w:w="1074"/>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5900,0</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6000,0</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6200,0</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95,7</w:t>
            </w:r>
          </w:p>
        </w:tc>
        <w:tc>
          <w:tcPr>
            <w:tcW w:type="dxa" w:w="936"/>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101,2</w:t>
            </w:r>
          </w:p>
        </w:tc>
        <w:tc>
          <w:tcPr>
            <w:tcW w:type="dxa" w:w="1074"/>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Сальдо экспорта и импорта товаров</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-3852,5</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-3920,0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-3950,0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-3950,0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-4050,0</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96,8</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102,5</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Внешнеторговый оборот</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7612,3</w:t>
            </w:r>
          </w:p>
        </w:tc>
        <w:tc>
          <w:tcPr>
            <w:tcW w:type="dxa" w:w="936"/>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7680,0</w:t>
            </w:r>
          </w:p>
        </w:tc>
        <w:tc>
          <w:tcPr>
            <w:tcW w:type="dxa" w:w="1074"/>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7850,0</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8050,0</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8350,0</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95,2</w:t>
            </w:r>
          </w:p>
        </w:tc>
        <w:tc>
          <w:tcPr>
            <w:tcW w:type="dxa" w:w="936"/>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100,9</w:t>
            </w:r>
          </w:p>
        </w:tc>
        <w:tc>
          <w:tcPr>
            <w:tcW w:type="dxa" w:w="1074"/>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102,2</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102,5</w:t>
            </w:r>
          </w:p>
        </w:tc>
        <w:tc>
          <w:tcPr>
            <w:tcW w:type="dxa" w:w="987"/>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экспорта основных видов продукции из </w:t>
      </w:r>
    </w:p>
    <w:p>
      <w:pPr>
        <w:spacing w:after="240" w:before="200"/>
        <w:jc w:val="center"/>
      </w:pPr>
      <w:r>
        <w:rPr>
          <w:rFonts w:ascii="Arial" w:cs="Arial" w:eastAsia="Arial" w:hAnsi="Arial"/>
          <w:b/>
          <w:bCs/>
          <w:sz w:val="32"/>
          <w:szCs w:val="32"/>
        </w:rPr>
        <w:t xml:space="preserve">Кыргызской Республики 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7"/>
        <w:gridCol w:w="1695"/>
        <w:gridCol w:w="1001"/>
        <w:gridCol w:w="928"/>
        <w:gridCol w:w="928"/>
        <w:gridCol w:w="951"/>
        <w:gridCol w:w="928"/>
      </w:tblGrid>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Экспорт товаров</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1879,9</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2150,0</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105,1</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Золото</w:t>
            </w:r>
            <w:hyperlink w:history="1" r:id="rIdofdy2dvqcfoxkpngvgus2">
              <w:r>
                <w:rPr>
                  <w:rFonts w:ascii="Arial" w:cs="Arial" w:eastAsia="Arial" w:hAnsi="Arial"/>
                  <w:color w:val="1D4ED8"/>
                  <w:sz w:val="24"/>
                  <w:szCs w:val="24"/>
                  <w:u w:val="single"/>
                </w:rPr>
                <w:t xml:space="preserve">*</w:t>
              </w:r>
            </w:hyperlink>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717,0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685,4</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766,4</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862,7</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902,8</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97,3</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95,6</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111,8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112,6</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104,7</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Сурьма и изделия из нее</w:t>
            </w:r>
            <w:r>
              <w:rPr>
                <w:rFonts w:ascii="Arial" w:cs="Arial" w:eastAsia="Arial" w:hAnsi="Arial"/>
                <w:sz w:val="24"/>
                <w:szCs w:val="24"/>
              </w:rPr>
              <w:t xml:space="preserve">*</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0,8</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0,8</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5,3</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162,5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Лампы накаливания</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19,4</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26,1</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26,3</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26,5</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26,5</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82,2</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134,5</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100,8</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Стекло листовое</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25,3</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27,9</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29,5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33,0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35,4</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89,1</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94,6</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116,7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118,3</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120,0</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Цемент</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12,9</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13,1</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13,6</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14,6</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76,8</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101,8</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103,9</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106,7</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Предметы одежды и одежные принадлежности</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99,6</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96,0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98,0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107,0</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95,5</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96,4</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104,1</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104,9</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Электроэнергия</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0,2</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0,0</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 </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 </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 </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 </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Овощи и фрукты</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126,0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151,2</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152,1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154,4</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156,7</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77,8</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120,0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101,5</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101,5</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Хлопок-волокно</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24,1</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25,3</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25,8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26,2</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26,5</w:t>
            </w:r>
          </w:p>
        </w:tc>
      </w:tr>
      <w:tr>
        <w:tc>
          <w:tcPr>
            <w:tcW w:type="dxa" w:w="37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9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0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121,1</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105,0</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101,8</w:t>
            </w:r>
          </w:p>
        </w:tc>
        <w:tc>
          <w:tcPr>
            <w:tcW w:type="dxa" w:w="928"/>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импорта основных товаров в </w:t>
      </w:r>
    </w:p>
    <w:p>
      <w:pPr>
        <w:spacing w:after="120"/>
        <w:jc w:val="center"/>
      </w:pPr>
      <w:r>
        <w:rPr>
          <w:rFonts w:ascii="Arial" w:cs="Arial" w:eastAsia="Arial" w:hAnsi="Arial"/>
          <w:b/>
          <w:bCs/>
          <w:sz w:val="24"/>
          <w:szCs w:val="24"/>
        </w:rPr>
        <w:t xml:space="preserve">Кыргызскую Республику</w:t>
      </w:r>
      <w:r>
        <w:rPr>
          <w:rFonts w:ascii="Arial" w:cs="Arial" w:eastAsia="Arial" w:hAnsi="Arial"/>
          <w:sz w:val="24"/>
          <w:szCs w:val="24"/>
        </w:rPr>
        <w:t xml:space="preserve"> </w:t>
      </w:r>
      <w:r>
        <w:rPr>
          <w:rFonts w:ascii="Arial" w:cs="Arial" w:eastAsia="Arial" w:hAnsi="Arial"/>
          <w:b/>
          <w:bCs/>
          <w:sz w:val="24"/>
          <w:szCs w:val="24"/>
        </w:rPr>
        <w:t xml:space="preserve">на 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4"/>
        <w:gridCol w:w="1732"/>
        <w:gridCol w:w="1023"/>
        <w:gridCol w:w="950"/>
        <w:gridCol w:w="950"/>
        <w:gridCol w:w="971"/>
        <w:gridCol w:w="950"/>
      </w:tblGrid>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Импорт товаров всего</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5732,4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5900,0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6200,0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Нефтепродукты</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1061,1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1073,6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1092,1</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1110,6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1147,6</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91,5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Бензин</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457,7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472,4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491,4</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510,9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527,9</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73,1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Авиакеросин</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82,8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89,1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90,6</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92,2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95,3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71,8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107,6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Дизтопливо</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368,8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381,1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387,7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394,3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407,4</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85,8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66,2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36,7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32,1</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32,1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29,9</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1408,5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55,5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87,5</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93,1</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46,1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46,2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46,2</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46,2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46,2</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90,4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50,5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111,1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138,6</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168,2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199,9</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75,1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219,9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124,8</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121,3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118,9</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124,78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143,7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0,0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312,0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115,2</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377,6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388,6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395,3</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402,0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415,4</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92,8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Электрические машины, оборудование и аппаратуры</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215,6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220,0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227,0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240,0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250,0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74,4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103,2</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104,2</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наземного транспорта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816,3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820,0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836,4</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861,5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904,6</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111,3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Черные металлы и изделия из них</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392,1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417,6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424,8</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432,0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446,4</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86,4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106,5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Пластмассы и изделия из них</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173,0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174,0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177,0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180,0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186,0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97,2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Каучук, резина и изделия из нее</w:t>
            </w:r>
            <w:hyperlink w:history="1" r:id="rId6iuzby5wymth474chchjx">
              <w:r>
                <w:rPr>
                  <w:rFonts w:ascii="Arial" w:cs="Arial" w:eastAsia="Arial" w:hAnsi="Arial"/>
                  <w:color w:val="1D4ED8"/>
                  <w:sz w:val="24"/>
                  <w:szCs w:val="24"/>
                  <w:u w:val="single"/>
                </w:rPr>
                <w:t xml:space="preserve">[u5]</w:t>
              </w:r>
            </w:hyperlink>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72,0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75,4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76,7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78,0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80,6</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77,3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Удобрения</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70,3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73,8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77,5</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81,4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85,5</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113,8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Лесоматериалы</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148,3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150,8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159,3</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162,0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167,4</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97,6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105,6</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Бумага, картон и изделия из них</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91,8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92,6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96,0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106,2</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112,4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105,7</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Фармацевтическая продукция</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199,4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203,0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206,5</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210,0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217,0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Продовольственные товары (включая сельхозсырье)</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844,0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870,0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885,0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900,0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930,0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99,5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Алкогольная продукция</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31,9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32,9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33,4</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34,0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35,2</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7,3</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8,5</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117,7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100,7</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109,2</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Вино</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3,7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4,1</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4,1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5,8</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72,5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111,5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140,1</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10,9</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10,9</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26,7</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78,4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244,5</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Табачные изделия</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80,2</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82,7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82,3</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83,7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86,5</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120,4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103,1</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99,6</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101,7</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103,3</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Пшеница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млн долл. США</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100,4</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103,0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104,0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105,0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106,0</w:t>
            </w:r>
          </w:p>
        </w:tc>
      </w:tr>
      <w:tr>
        <w:tc>
          <w:tcPr>
            <w:tcW w:type="dxa" w:w="36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73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111,8</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102,6</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101,0</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101,0</w:t>
            </w:r>
          </w:p>
        </w:tc>
        <w:tc>
          <w:tcPr>
            <w:tcW w:type="dxa" w:w="950"/>
            <w:tcBorders>
              <w:top w:val="none" w:color="auto" w:sz="0"/>
              <w:left w:val="none" w:color="auto" w:sz="0"/>
              <w:bottom w:val="single" w:color="CBBF9E" w:sz="4"/>
              <w:right w:val="single" w:color="CBBF9E" w:sz="4"/>
            </w:tcBorders>
            <w:vAlign w:val="bottom"/>
          </w:tcPr>
          <w:p>
            <w:pPr>
              <w:jc w:val="left"/>
            </w:pPr>
            <w:r>
              <w:rPr>
                <w:rFonts w:ascii="Arial" w:cs="Arial" w:eastAsia="Arial" w:hAnsi="Arial"/>
                <w:b w:val="false"/>
                <w:bCs w:val="false"/>
                <w:sz w:val="24"/>
                <w:szCs w:val="24"/>
              </w:rPr>
              <w:t xml:space="preserve">101,0</w:t>
            </w:r>
          </w:p>
        </w:tc>
      </w:tr>
    </w:tbl>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Среднесрочные прогнозные показатели развития регионов</w:t>
      </w:r>
    </w:p>
    <w:p>
      <w:pPr>
        <w:spacing w:after="120"/>
        <w:jc w:val="center"/>
      </w:pPr>
      <w:r>
        <w:rPr>
          <w:rFonts w:ascii="Arial" w:cs="Arial" w:eastAsia="Arial" w:hAnsi="Arial"/>
          <w:b/>
          <w:bCs/>
          <w:sz w:val="24"/>
          <w:szCs w:val="24"/>
        </w:rPr>
        <w:t xml:space="preserve">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на</w:t>
      </w:r>
      <w:r>
        <w:rPr>
          <w:rFonts w:ascii="Arial" w:cs="Arial" w:eastAsia="Arial" w:hAnsi="Arial"/>
          <w:sz w:val="24"/>
          <w:szCs w:val="24"/>
        </w:rPr>
        <w:t xml:space="preserve"> </w:t>
      </w:r>
      <w:r>
        <w:rPr>
          <w:rFonts w:ascii="Arial" w:cs="Arial" w:eastAsia="Arial" w:hAnsi="Arial"/>
          <w:b/>
          <w:bCs/>
          <w:sz w:val="24"/>
          <w:szCs w:val="24"/>
        </w:rPr>
        <w:t xml:space="preserve">2016-2018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региональный продукт</w:t>
            </w:r>
            <w:r>
              <w:rPr>
                <w:rFonts w:ascii="Arial" w:cs="Arial" w:eastAsia="Arial" w:hAnsi="Arial"/>
                <w:sz w:val="24"/>
                <w:szCs w:val="24"/>
              </w:rPr>
              <w:t xml:space="preserve">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397277,1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438579,8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486492,3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544804,1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618710,0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16947,8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18709,7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20753,7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23241,2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26394,0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41941,1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46301,5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51359,7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57515,8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65318,1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56697,5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62592,0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69429,9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77751,9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88299,4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10884,7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12016,4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13329,1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14926,7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16951,6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27328,2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30169,4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33465,2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37476,4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42560,3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14136,1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15605,8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17310,6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19385,5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22015,3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55557,6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61333,6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68033,9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76188,6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86524,0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153425,5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169376,2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187879,7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210399,3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238941,2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20358,6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22475,2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24930,5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27918,7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31706,0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Валовая продукция сельского хозяйства, лесного хозяйства и рыболовства </w:t>
            </w:r>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194394,6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213884,6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233026,2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253801,0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276221,7</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16525,1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18031,9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19745,7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21356,0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23242,6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39235,5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43369,3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47450,6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51580,9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56137,5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24525,1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27184,0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29316,8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34968,9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13260,6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14390,1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15878,0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17443,5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18984,5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34518,7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37779,5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40960,6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44512,4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48444,6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20790,2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22874,6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24721,8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27075,8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29467,7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44511,4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49174,1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53774,9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58419,1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63579,8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298,4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248,8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729,6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929,1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1101,3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Валовая продукция промышленности</w:t>
            </w:r>
            <w:hyperlink w:history="1" r:id="rIdufwtfi6wwbpqw32enwbts">
              <w:r>
                <w:rPr>
                  <w:rFonts w:ascii="Arial" w:cs="Arial" w:eastAsia="Arial" w:hAnsi="Arial"/>
                  <w:b/>
                  <w:bCs/>
                  <w:color w:val="1D4ED8"/>
                  <w:sz w:val="24"/>
                  <w:szCs w:val="24"/>
                  <w:u w:val="single"/>
                </w:rPr>
                <w:t xml:space="preserve">[16]</w:t>
              </w:r>
            </w:hyperlink>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169 690,4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169 331,6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188 175,0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211 295,9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236 543,2</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109,2</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101,3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5599,8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5926,6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6397,9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7184,1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8042,5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17823,9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17779,8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19946,5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22397,4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25073,6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40072,9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39962,3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44785,6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50288,4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56297,3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1571,7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1881,7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2365,4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5261,0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5079,9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6021,6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6761,5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7569,4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1696,9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2032,0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2069,9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2324,3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2602,0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63174,3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63838,0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70565,6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79236,0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88703,7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31265,7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30649,0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33495,1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37610,7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42104,7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2878,6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3010,8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3380,7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3784,7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Объем продукции промышленности</w:t>
            </w:r>
            <w:hyperlink w:history="1" r:id="rIdef3uxxt7y3ka9gqgo5f-x">
              <w:r>
                <w:rPr>
                  <w:rFonts w:ascii="Arial" w:cs="Arial" w:eastAsia="Arial" w:hAnsi="Arial"/>
                  <w:b/>
                  <w:bCs/>
                  <w:color w:val="1D4ED8"/>
                  <w:sz w:val="24"/>
                  <w:szCs w:val="24"/>
                  <w:u w:val="single"/>
                </w:rPr>
                <w:t xml:space="preserve">[17]</w:t>
              </w:r>
            </w:hyperlink>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167 552,2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166 753,4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184 460,8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206 035,8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228 158,1</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108,2</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101,2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5264,4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5239,3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5795,7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6473,6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7168,7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13060,9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12998,7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14379,0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16060,8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17785,3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41516,5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41318,6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45706,2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51052,1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56533,6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1526,8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1688,9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1886,5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2089,0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3496,2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3479,5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3849,0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4299,2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4760,8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1262,3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1397,8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68257,2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67931,8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75145,4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83934,6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92946,8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30626,9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30480,9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33717,6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37661,3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41705,1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2769,4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2756,2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3048,9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3771,1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Валовой выпуск сферы услуг </w:t>
            </w:r>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333 241,6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376 688,3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420 534,2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474 108,2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534 408,4</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10171,7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11397,9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12724,6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14345,6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16170,2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27866,1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31299,2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34942,4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39393,9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44404,3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18916,7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21383,0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23871,9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26913,1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30336,1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8741,5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9881,2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11031,4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12436,7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13918,5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22920,6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26008,9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29036,3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32735,4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36898,9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7501,2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8479,2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9466,2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10672,1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12029,5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32063,6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36344,0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40574,3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45743,3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51561,2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179323,9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202803,4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226409,4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255252,8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287817,6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25736,1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29091,5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32477,7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36615,2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41272,1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Валовой выпуск оптовой и розничной торговли; ремонта автомобилей и мотоциклов </w:t>
            </w:r>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106 106,6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125 700,1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144 440,0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166 069,5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192 449,2</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108,1</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3860,5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4573,4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5255,2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6042,2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7002,0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11497,8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13621,0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15651,7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17995,5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20854,0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5671,9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6719,3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7721,1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8877,3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10287,4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3291,0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3898,7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4480,0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5150,8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5969,0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11068,5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12612,4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14492,7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16662,9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19309,8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2897,1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3432,1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3943,8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4534,3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5254,6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15004,5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17775,2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20425,2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23483,8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45161,9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54001,5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62052,2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71344,4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82677,3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7653,3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9066,5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11978,3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13881,0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Объем оказанных рыночных услуг </w:t>
            </w:r>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515 240,1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596 617,5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674 572,3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765 527,9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874 318,4</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107,6</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13531,6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15384,3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17390,1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19948,5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23067,9</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49702,7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56307,9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63815,3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72703,6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84601,4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117,6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22743,0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25656,9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28968,8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32730,7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37577,0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7349,9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8256,2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9236,3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11974,9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35892,2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40805,1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46208,3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53397,3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12179,3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13646,9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15314,8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17567,9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20391,2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60395,6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68664,8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78063,7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89748,2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105232,2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277427,0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316911,6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361140,5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416070,4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486504,0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39601,6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45023,8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51186,6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58517,0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68254,2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r>
      <w:tr>
        <w:tc>
          <w:tcPr>
            <w:tcW w:type="dxa" w:w="10176"/>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Оптовая и розничная торговля; ремонт автомобилей и мотоциклов </w:t>
            </w:r>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384 741,8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453 708,1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518 928,9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593 863,3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685 001,3</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107,9</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109,0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11269,9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13290,1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15000,5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17166,6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19601,1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43058,9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50777,4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58076,6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66463,0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76662,8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15233,7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17964,4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20546,8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23513,8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26722,4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5771,8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6806,4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7584,8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8680,1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9812,2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28443,6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32342,2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36191,4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41417,5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47773,7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10411,6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12277,9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14042,9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16070,7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18537,0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51402,5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60616,6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69330,2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79341,7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91617,9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186179,4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220752,7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253186,0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289746,6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334913,0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32970,4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38880,5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44969,5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51463,2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59361,1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107,2</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Валовая продукция строительства </w:t>
            </w:r>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96911,4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112056,7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123424,2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139198,8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160522,2</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2517,2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2710,6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2960,1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3349,4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3776,6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97,7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106,5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11097,7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13132,0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14705,5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15920,7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18 089,0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128,6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109,0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106,4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107,8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13767,8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16919,4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19082,7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20358,2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22992,5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78,1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107,0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7352,8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8501,9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9042,2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9849,3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11269,4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219,6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108,1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5132,1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5434,1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5724,5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6222,5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6812,4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97,3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96,3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1171,1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1354,2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1439,2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1541,9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1786,1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18563,0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21464,1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23448,5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28983,7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32931,4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34549,8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39349,2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43537,7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49095,1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58587,1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168,6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112,9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259,9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3191,2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3483,8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3878,0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4277,7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105,3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104,8</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Объем инвестиций в основной капитал </w:t>
            </w:r>
            <w:r>
              <w:rPr>
                <w:rFonts w:ascii="Arial" w:cs="Arial" w:eastAsia="Arial" w:hAnsi="Arial"/>
                <w:sz w:val="24"/>
                <w:szCs w:val="24"/>
              </w:rPr>
              <w:t xml:space="preserve">(млн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105821,8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122631,5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138788,7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154036,5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175290,5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2 345,9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2965,7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3329,7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3705,1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4123,0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12682,1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14367,6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16541,6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18611,4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20747,8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18965,0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20511,3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22465,5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24575,8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26148,9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9030,6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9601,9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10171,2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11895,2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12302,8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4272,6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5945,4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6439,3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6883,3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7437,2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1123,2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1481,6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1618,8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1705,6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1949,8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22617,2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23483,7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26376,2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30061,6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34951,3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32681,0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40782,8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47927,6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52308,7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62959,7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2104,2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3491,5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3918,8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4289,8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val="false"/>
                <w:bCs w:val="false"/>
                <w:sz w:val="24"/>
                <w:szCs w:val="24"/>
              </w:rPr>
              <w:t xml:space="preserve">4670,0</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Численность занятых в экономике, тыс. чел.</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2290,2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2308,5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2317,7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2338,6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2366,6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160,7</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162,0</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162,6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164,1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166,1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430,3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433,7</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435,4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439,3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444,6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175,2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176,6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177,3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178,9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85,5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86,2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86,5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87,3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88,3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587,9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592,6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595,0</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600,3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607,5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106,5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354,1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356,9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358,4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361,6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365,9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393,4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396,6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398,2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401,7</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406,6</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Созданные рабочие места, тыс. чел.</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110252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70000</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70000</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70000</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70000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10176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6429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6432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6429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6426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24651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15232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15233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15235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15237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3497</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1914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1915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1914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1913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5509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3102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3101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3102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3102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10539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6663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6663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6666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6664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1899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1806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1805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1804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1805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29341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18265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18262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18265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18265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23326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15706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15705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15703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15706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1314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882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883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881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881</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Уровень общей безработицы, </w:t>
            </w:r>
            <w:r>
              <w:rPr>
                <w:rFonts w:ascii="Arial" w:cs="Arial" w:eastAsia="Arial" w:hAnsi="Arial"/>
                <w:sz w:val="24"/>
                <w:szCs w:val="24"/>
              </w:rPr>
              <w:t xml:space="preserve">%</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 </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Среднемесячная оплата труда</w:t>
            </w:r>
            <w:hyperlink w:history="1" r:id="rIdialmawhbaaapbyjdvyncv">
              <w:r>
                <w:rPr>
                  <w:rFonts w:ascii="Arial" w:cs="Arial" w:eastAsia="Arial" w:hAnsi="Arial"/>
                  <w:b/>
                  <w:bCs/>
                  <w:color w:val="1D4ED8"/>
                  <w:sz w:val="24"/>
                  <w:szCs w:val="24"/>
                  <w:u w:val="single"/>
                </w:rPr>
                <w:t xml:space="preserve">[18]</w:t>
              </w:r>
            </w:hyperlink>
            <w:r>
              <w:rPr>
                <w:rFonts w:ascii="Arial" w:cs="Arial" w:eastAsia="Arial" w:hAnsi="Arial"/>
                <w:b/>
                <w:bCs/>
                <w:sz w:val="24"/>
                <w:szCs w:val="24"/>
              </w:rPr>
              <w:t xml:space="preserve">,</w:t>
            </w:r>
            <w:r>
              <w:rPr>
                <w:rFonts w:ascii="Arial" w:cs="Arial" w:eastAsia="Arial" w:hAnsi="Arial"/>
                <w:sz w:val="24"/>
                <w:szCs w:val="24"/>
              </w:rPr>
              <w:t xml:space="preserve">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12435,0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13500,0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14800,0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16350,0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17500,0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9013,0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9760,9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10678,5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11900,6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12684,2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11052,0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11970,6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13103,0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14431,6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15553,7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9052,0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9940,3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10763,6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11884,9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12749,0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11456,0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12682,2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13839,8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15262,8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16272,2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8145,0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8800,6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9674,1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10709,3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11482,6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9347,0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10223,5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11124,7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12289,8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13144,2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10981,0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11921,5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13069,5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14428,2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15453,8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16834,0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18334,8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20145,6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22194,0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23690,8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11120,0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12072,4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13134,9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14461,0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15649,4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97,6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100,7</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Прожиточный минимум, </w:t>
            </w:r>
            <w:r>
              <w:rPr>
                <w:rFonts w:ascii="Arial" w:cs="Arial" w:eastAsia="Arial" w:hAnsi="Arial"/>
                <w:sz w:val="24"/>
                <w:szCs w:val="24"/>
              </w:rPr>
              <w:t xml:space="preserve">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Республика, всего</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4981,5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5534,5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6170,9</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6784,2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7293,7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4930,4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5486,9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6127,5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6704,6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7218,8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4915,2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5458,1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6108,7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6664,9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7196,6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4520,5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4962,8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5541,9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6116,5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6618,8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4625,4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5191,6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5749,8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6351,3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6772,4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Ошская область</w:t>
            </w:r>
            <w:hyperlink w:history="1" r:id="rIdg2w1go0fpt-wp1rj3kpnt">
              <w:r>
                <w:rPr>
                  <w:rFonts w:ascii="Arial" w:cs="Arial" w:eastAsia="Arial" w:hAnsi="Arial"/>
                  <w:b/>
                  <w:bCs/>
                  <w:color w:val="1D4ED8"/>
                  <w:sz w:val="24"/>
                  <w:szCs w:val="24"/>
                  <w:u w:val="single"/>
                </w:rPr>
                <w:t xml:space="preserve">[19]</w:t>
              </w:r>
            </w:hyperlink>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5191,9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5811,6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6431,6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7122,8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7645,8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4631,7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5140,8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5745,5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6297,8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6781,5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4707,0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5228,3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5830,9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6403,4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6835,8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109,8</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5044,0</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5585,4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6248,3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6839,3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7385,2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110,7</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111,9</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hyperlink w:history="1" r:id="rIdvtmsmkexz60cprglv5dii">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Показатели приведены по валовой добавленной стоимости</w:t>
      </w:r>
      <w:r>
        <w:rPr>
          <w:rFonts w:ascii="Arial" w:cs="Arial" w:eastAsia="Arial" w:hAnsi="Arial"/>
          <w:sz w:val="24"/>
          <w:szCs w:val="24"/>
        </w:rPr>
        <w:t xml:space="preserve">.</w:t>
      </w:r>
    </w:p>
    <w:p>
      <w:pPr>
        <w:spacing w:after="120"/>
        <w:jc w:val="both"/>
      </w:pPr>
      <w:hyperlink w:history="1" r:id="rId-vagarr9rf-zb1peiarxe">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r>
        <w:rPr>
          <w:rFonts w:ascii="Arial" w:cs="Arial" w:eastAsia="Arial" w:hAnsi="Arial"/>
          <w:sz w:val="18"/>
          <w:szCs w:val="18"/>
        </w:rPr>
        <w:t xml:space="preserve">По данным аналитического баланса банковской системы включают в себя только кредиты физических и юридических лиц и других финансово-кредитных учреждений, при этом исключаются кредит Правительству и нерезидентам.</w:t>
      </w:r>
    </w:p>
    <w:p>
      <w:pPr>
        <w:spacing w:after="120"/>
        <w:jc w:val="both"/>
      </w:pPr>
      <w:hyperlink w:history="1" r:id="rIdsd3h9-f4fbdq-hr9ehd2g">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r>
        <w:rPr>
          <w:rFonts w:ascii="Arial" w:cs="Arial" w:eastAsia="Arial" w:hAnsi="Arial"/>
          <w:sz w:val="18"/>
          <w:szCs w:val="18"/>
        </w:rPr>
        <w:t xml:space="preserve">Уточненные данные по поступлениям ПИИ за 2014 г</w:t>
      </w:r>
      <w:r>
        <w:rPr>
          <w:rFonts w:ascii="Arial" w:cs="Arial" w:eastAsia="Arial" w:hAnsi="Arial"/>
          <w:sz w:val="18"/>
          <w:szCs w:val="18"/>
        </w:rPr>
        <w:t xml:space="preserve">од</w:t>
      </w:r>
      <w:r>
        <w:rPr>
          <w:rFonts w:ascii="Arial" w:cs="Arial" w:eastAsia="Arial" w:hAnsi="Arial"/>
          <w:sz w:val="18"/>
          <w:szCs w:val="18"/>
        </w:rPr>
        <w:t xml:space="preserve"> представля</w:t>
      </w:r>
      <w:r>
        <w:rPr>
          <w:rFonts w:ascii="Arial" w:cs="Arial" w:eastAsia="Arial" w:hAnsi="Arial"/>
          <w:sz w:val="18"/>
          <w:szCs w:val="18"/>
        </w:rPr>
        <w:t xml:space="preserve">ю</w:t>
      </w:r>
      <w:r>
        <w:rPr>
          <w:rFonts w:ascii="Arial" w:cs="Arial" w:eastAsia="Arial" w:hAnsi="Arial"/>
          <w:sz w:val="18"/>
          <w:szCs w:val="18"/>
        </w:rPr>
        <w:t xml:space="preserve">тся после 25 мая года, следующего за отчетным периодом.</w:t>
      </w:r>
    </w:p>
    <w:p>
      <w:pPr>
        <w:spacing w:after="120"/>
        <w:jc w:val="both"/>
      </w:pPr>
      <w:hyperlink w:history="1" r:id="rIdjpxemcf6oz2iff60upu6o">
        <w:r>
          <w:rPr>
            <w:rFonts w:ascii="Arial" w:cs="Arial" w:eastAsia="Arial" w:hAnsi="Arial"/>
            <w:color w:val="1D4ED8"/>
            <w:sz w:val="24"/>
            <w:szCs w:val="24"/>
            <w:u w:val="single"/>
          </w:rPr>
          <w:t xml:space="preserve">[4]</w:t>
        </w:r>
      </w:hyperlink>
      <w:r>
        <w:rPr>
          <w:rFonts w:ascii="Arial" w:cs="Arial" w:eastAsia="Arial" w:hAnsi="Arial"/>
          <w:sz w:val="24"/>
          <w:szCs w:val="24"/>
        </w:rPr>
        <w:t xml:space="preserve">Темпы прироста приведены по ВДС</w:t>
      </w:r>
    </w:p>
    <w:p>
      <w:pPr>
        <w:spacing w:after="120"/>
        <w:jc w:val="both"/>
      </w:pPr>
      <w:hyperlink w:history="1" r:id="rIdfl0svzr3zpbqsxtglbh7a">
        <w:r>
          <w:rPr>
            <w:rFonts w:ascii="Arial" w:cs="Arial" w:eastAsia="Arial" w:hAnsi="Arial"/>
            <w:color w:val="1D4ED8"/>
            <w:sz w:val="24"/>
            <w:szCs w:val="24"/>
            <w:u w:val="single"/>
          </w:rPr>
          <w:t xml:space="preserve">[5]</w:t>
        </w:r>
      </w:hyperlink>
      <w:r>
        <w:rPr>
          <w:rFonts w:ascii="Arial" w:cs="Arial" w:eastAsia="Arial" w:hAnsi="Arial"/>
          <w:sz w:val="16"/>
          <w:szCs w:val="16"/>
        </w:rPr>
        <w:t xml:space="preserve">Прогноз МСХ США (USDA) от 11.01.2015 г., Международного совета по зерну (IGC) от 22.01.2015 г., сводка ФАО о предложении зерновых и спроса на зерновые от 05.02.2015 г.</w:t>
      </w:r>
    </w:p>
    <w:p>
      <w:pPr>
        <w:spacing w:after="120"/>
        <w:jc w:val="both"/>
      </w:pPr>
      <w:r>
        <w:rPr>
          <w:rFonts w:ascii="Arial" w:cs="Arial" w:eastAsia="Arial" w:hAnsi="Arial"/>
          <w:sz w:val="24"/>
          <w:szCs w:val="24"/>
        </w:rPr>
        <w:t xml:space="preserve"/>
      </w:r>
    </w:p>
    <w:p>
      <w:pPr>
        <w:spacing w:after="120"/>
        <w:jc w:val="both"/>
      </w:pPr>
      <w:hyperlink w:history="1" r:id="rIdexkf3praqez3mubcihc6q">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r>
        <w:rPr>
          <w:rFonts w:ascii="Arial" w:cs="Arial" w:eastAsia="Arial" w:hAnsi="Arial"/>
          <w:sz w:val="18"/>
          <w:szCs w:val="18"/>
        </w:rPr>
        <w:t xml:space="preserve">Без учета стоимости переработанного давальческого сырья</w:t>
      </w:r>
      <w:r>
        <w:rPr>
          <w:rFonts w:ascii="Arial" w:cs="Arial" w:eastAsia="Arial" w:hAnsi="Arial"/>
          <w:sz w:val="18"/>
          <w:szCs w:val="18"/>
        </w:rPr>
        <w:t xml:space="preserve">.</w:t>
      </w:r>
    </w:p>
    <w:p>
      <w:pPr>
        <w:spacing w:after="120"/>
        <w:jc w:val="both"/>
      </w:pPr>
      <w:hyperlink w:history="1" r:id="rIdqxncdzmt6wcdnuzut4xu7">
        <w:r>
          <w:rPr>
            <w:rFonts w:ascii="Arial" w:cs="Arial" w:eastAsia="Arial" w:hAnsi="Arial"/>
            <w:color w:val="1D4ED8"/>
            <w:sz w:val="24"/>
            <w:szCs w:val="24"/>
            <w:u w:val="single"/>
          </w:rPr>
          <w:t xml:space="preserve">[7]</w:t>
        </w:r>
      </w:hyperlink>
      <w:r>
        <w:rPr>
          <w:rFonts w:ascii="Arial" w:cs="Arial" w:eastAsia="Arial" w:hAnsi="Arial"/>
          <w:sz w:val="24"/>
          <w:szCs w:val="24"/>
        </w:rPr>
        <w:t xml:space="preserve"> Оценка Министерства экономики Кыргызской Республики.</w:t>
      </w:r>
    </w:p>
    <w:p>
      <w:pPr>
        <w:spacing w:after="120"/>
        <w:jc w:val="both"/>
      </w:pPr>
      <w:hyperlink w:history="1" r:id="rId3u7h9rmddecacje-2avgi">
        <w:r>
          <w:rPr>
            <w:rFonts w:ascii="Arial" w:cs="Arial" w:eastAsia="Arial" w:hAnsi="Arial"/>
            <w:color w:val="1D4ED8"/>
            <w:sz w:val="24"/>
            <w:szCs w:val="24"/>
            <w:u w:val="single"/>
          </w:rPr>
          <w:t xml:space="preserve">[8]</w:t>
        </w:r>
      </w:hyperlink>
      <w:r>
        <w:rPr>
          <w:rFonts w:ascii="Arial" w:cs="Arial" w:eastAsia="Arial" w:hAnsi="Arial"/>
          <w:sz w:val="24"/>
          <w:szCs w:val="24"/>
        </w:rPr>
        <w:t xml:space="preserve"> По методике Международного валютного фонда. </w:t>
      </w:r>
    </w:p>
    <w:p>
      <w:pPr>
        <w:spacing w:after="120"/>
        <w:jc w:val="both"/>
      </w:pPr>
      <w:hyperlink w:history="1" r:id="rIdlh8pa6body9m_nkrjfdul">
        <w:r>
          <w:rPr>
            <w:rFonts w:ascii="Arial" w:cs="Arial" w:eastAsia="Arial" w:hAnsi="Arial"/>
            <w:color w:val="1D4ED8"/>
            <w:sz w:val="18"/>
            <w:szCs w:val="18"/>
            <w:u w:val="single"/>
          </w:rPr>
          <w:t xml:space="preserve">[9]</w:t>
        </w:r>
      </w:hyperlink>
      <w:r>
        <w:rPr>
          <w:rFonts w:ascii="Arial" w:cs="Arial" w:eastAsia="Arial" w:hAnsi="Arial"/>
          <w:sz w:val="24"/>
          <w:szCs w:val="24"/>
        </w:rPr>
        <w:t xml:space="preserve">По данным Социального фонда </w:t>
      </w:r>
      <w:r>
        <w:rPr>
          <w:rFonts w:ascii="Arial" w:cs="Arial" w:eastAsia="Arial" w:hAnsi="Arial"/>
          <w:sz w:val="24"/>
          <w:szCs w:val="24"/>
        </w:rPr>
        <w:t xml:space="preserve">Кыргызской Республики</w:t>
      </w:r>
    </w:p>
    <w:p>
      <w:pPr>
        <w:spacing w:after="120"/>
        <w:jc w:val="both"/>
      </w:pPr>
      <w:hyperlink w:history="1" r:id="rIdbgv8ianmhu2nnrpzso0kw">
        <w:r>
          <w:rPr>
            <w:rFonts w:ascii="Arial" w:cs="Arial" w:eastAsia="Arial" w:hAnsi="Arial"/>
            <w:color w:val="1D4ED8"/>
            <w:sz w:val="24"/>
            <w:szCs w:val="24"/>
            <w:u w:val="single"/>
          </w:rPr>
          <w:t xml:space="preserve">[10]</w:t>
        </w:r>
      </w:hyperlink>
      <w:r>
        <w:rPr>
          <w:rFonts w:ascii="Arial" w:cs="Arial" w:eastAsia="Arial" w:hAnsi="Arial"/>
          <w:sz w:val="24"/>
          <w:szCs w:val="24"/>
        </w:rPr>
        <w:t xml:space="preserve"> Оценка Министерства экономики Кыргызской Республики</w:t>
      </w:r>
    </w:p>
    <w:p>
      <w:pPr>
        <w:spacing w:after="120"/>
        <w:jc w:val="both"/>
      </w:pPr>
      <w:hyperlink w:history="1" r:id="rIdyxrv_kof-9qd56y83mltc">
        <w:r>
          <w:rPr>
            <w:rFonts w:ascii="Arial" w:cs="Arial" w:eastAsia="Arial" w:hAnsi="Arial"/>
            <w:color w:val="1D4ED8"/>
            <w:sz w:val="16"/>
            <w:szCs w:val="16"/>
            <w:u w:val="single"/>
          </w:rPr>
          <w:t xml:space="preserve">[11]</w:t>
        </w:r>
      </w:hyperlink>
      <w:r>
        <w:rPr>
          <w:rFonts w:ascii="Arial" w:cs="Arial" w:eastAsia="Arial" w:hAnsi="Arial"/>
          <w:sz w:val="24"/>
          <w:szCs w:val="24"/>
        </w:rPr>
        <w:t xml:space="preserve">С учетом стоимости переработки давальческого сырья, без учета покупной электроэнергии.</w:t>
      </w:r>
    </w:p>
    <w:p>
      <w:pPr>
        <w:spacing w:after="120"/>
        <w:jc w:val="both"/>
      </w:pPr>
      <w:hyperlink w:history="1" r:id="rId6d1r7so2ajrhihl_ura0w">
        <w:r>
          <w:rPr>
            <w:rFonts w:ascii="Arial" w:cs="Arial" w:eastAsia="Arial" w:hAnsi="Arial"/>
            <w:color w:val="1D4ED8"/>
            <w:sz w:val="24"/>
            <w:szCs w:val="24"/>
            <w:u w:val="single"/>
          </w:rPr>
          <w:t xml:space="preserve">[12]</w:t>
        </w:r>
      </w:hyperlink>
      <w:r>
        <w:rPr>
          <w:rFonts w:ascii="Arial" w:cs="Arial" w:eastAsia="Arial" w:hAnsi="Arial"/>
          <w:sz w:val="24"/>
          <w:szCs w:val="24"/>
        </w:rPr>
        <w:t xml:space="preserve"> Без учета стоимости переработки давальческого сырья, но с учетом покупной электроэнергии.</w:t>
      </w:r>
    </w:p>
    <w:p>
      <w:pPr>
        <w:spacing w:after="120"/>
        <w:jc w:val="both"/>
      </w:pPr>
      <w:hyperlink w:history="1" r:id="rIdbm9outl5di9g_lsrlkzz1">
        <w:r>
          <w:rPr>
            <w:rFonts w:ascii="Arial" w:cs="Arial" w:eastAsia="Arial" w:hAnsi="Arial"/>
            <w:b w:val="false"/>
            <w:bCs w:val="false"/>
            <w:color w:val="1D4ED8"/>
            <w:sz w:val="24"/>
            <w:szCs w:val="24"/>
            <w:u w:val="single"/>
          </w:rPr>
          <w:t xml:space="preserve">[13]</w:t>
        </w:r>
      </w:hyperlink>
      <w:r>
        <w:rPr>
          <w:rFonts w:ascii="Arial" w:cs="Arial" w:eastAsia="Arial" w:hAnsi="Arial"/>
          <w:b w:val="false"/>
          <w:bCs w:val="false"/>
          <w:sz w:val="24"/>
          <w:szCs w:val="24"/>
        </w:rPr>
        <w:t xml:space="preserve"> Без зернобобовых, риса и гречихи</w:t>
      </w:r>
    </w:p>
    <w:p>
      <w:pPr>
        <w:spacing w:after="120"/>
        <w:jc w:val="both"/>
      </w:pPr>
      <w:r>
        <w:rPr>
          <w:rFonts w:ascii="Arial" w:cs="Arial" w:eastAsia="Arial" w:hAnsi="Arial"/>
          <w:sz w:val="24"/>
          <w:szCs w:val="24"/>
        </w:rPr>
        <w:t xml:space="preserve"/>
      </w:r>
    </w:p>
    <w:p>
      <w:pPr>
        <w:spacing w:after="120"/>
        <w:jc w:val="both"/>
      </w:pPr>
      <w:hyperlink w:history="1" r:id="rIdujmnpo2arrcqepi2xtdry">
        <w:r>
          <w:rPr>
            <w:rFonts w:ascii="Arial" w:cs="Arial" w:eastAsia="Arial" w:hAnsi="Arial"/>
            <w:color w:val="1D4ED8"/>
            <w:sz w:val="24"/>
            <w:szCs w:val="24"/>
            <w:u w:val="single"/>
          </w:rPr>
          <w:t xml:space="preserve">[14]</w:t>
        </w:r>
      </w:hyperlink>
      <w:r>
        <w:rPr>
          <w:rFonts w:ascii="Arial" w:cs="Arial" w:eastAsia="Arial" w:hAnsi="Arial"/>
          <w:sz w:val="24"/>
          <w:szCs w:val="24"/>
        </w:rPr>
        <w:t xml:space="preserve"> С учетом вычета коммунальных услуг</w:t>
      </w:r>
    </w:p>
    <w:p>
      <w:pPr>
        <w:spacing w:after="120"/>
        <w:jc w:val="both"/>
      </w:pPr>
      <w:hyperlink w:history="1" r:id="rIdtymrl998rm0sp8eb98xrw">
        <w:r>
          <w:rPr>
            <w:rFonts w:ascii="Arial" w:cs="Arial" w:eastAsia="Arial" w:hAnsi="Arial"/>
            <w:color w:val="1D4ED8"/>
            <w:sz w:val="24"/>
            <w:szCs w:val="24"/>
            <w:u w:val="single"/>
          </w:rPr>
          <w:t xml:space="preserve">[15]</w:t>
        </w:r>
      </w:hyperlink>
      <w:r>
        <w:rPr>
          <w:rFonts w:ascii="Arial" w:cs="Arial" w:eastAsia="Arial" w:hAnsi="Arial"/>
          <w:sz w:val="24"/>
          <w:szCs w:val="24"/>
        </w:rPr>
        <w:t xml:space="preserve"> Информация о данном виде производства относится к ДСП и представляется в установленном порядке.</w:t>
      </w:r>
    </w:p>
    <w:p>
      <w:pPr>
        <w:spacing w:after="120"/>
        <w:jc w:val="both"/>
      </w:pPr>
      <w:hyperlink w:history="1" r:id="rIda8s5jra9iypzurnhzoxk8">
        <w:r>
          <w:rPr>
            <w:rFonts w:ascii="Arial" w:cs="Arial" w:eastAsia="Arial" w:hAnsi="Arial"/>
            <w:color w:val="1D4ED8"/>
            <w:sz w:val="24"/>
            <w:szCs w:val="24"/>
            <w:u w:val="single"/>
          </w:rPr>
          <w:t xml:space="preserve">*</w:t>
        </w:r>
      </w:hyperlink>
      <w:r>
        <w:rPr>
          <w:rFonts w:ascii="Arial" w:cs="Arial" w:eastAsia="Arial" w:hAnsi="Arial"/>
          <w:sz w:val="24"/>
          <w:szCs w:val="24"/>
        </w:rPr>
        <w:t xml:space="preserve">Информация о данном виде производства относится к ДСП и представляется в установленном порядке.</w:t>
      </w:r>
    </w:p>
    <w:p>
      <w:pPr>
        <w:spacing w:after="120"/>
        <w:jc w:val="both"/>
      </w:pPr>
      <w:hyperlink w:history="1" r:id="rIdew0dmmmrh8sndnxinh63p">
        <w:r>
          <w:rPr>
            <w:rFonts w:ascii="Arial" w:cs="Arial" w:eastAsia="Arial" w:hAnsi="Arial"/>
            <w:color w:val="1D4ED8"/>
            <w:sz w:val="24"/>
            <w:szCs w:val="24"/>
            <w:u w:val="single"/>
          </w:rPr>
          <w:t xml:space="preserve">[16]</w:t>
        </w:r>
      </w:hyperlink>
      <w:r>
        <w:rPr>
          <w:rFonts w:ascii="Arial" w:cs="Arial" w:eastAsia="Arial" w:hAnsi="Arial"/>
          <w:sz w:val="24"/>
          <w:szCs w:val="24"/>
        </w:rPr>
        <w:t xml:space="preserve">С учетом стоимости переработки давальческого сырья, без учета покупной электроэнергии</w:t>
      </w:r>
    </w:p>
    <w:p>
      <w:pPr>
        <w:spacing w:after="120"/>
        <w:jc w:val="both"/>
      </w:pPr>
      <w:hyperlink w:history="1" r:id="rId-dju7evslsfth6blsxyxf">
        <w:r>
          <w:rPr>
            <w:rFonts w:ascii="Arial" w:cs="Arial" w:eastAsia="Arial" w:hAnsi="Arial"/>
            <w:color w:val="1D4ED8"/>
            <w:sz w:val="24"/>
            <w:szCs w:val="24"/>
            <w:u w:val="single"/>
          </w:rPr>
          <w:t xml:space="preserve">[17]</w:t>
        </w:r>
      </w:hyperlink>
      <w:r>
        <w:rPr>
          <w:rFonts w:ascii="Arial" w:cs="Arial" w:eastAsia="Arial" w:hAnsi="Arial"/>
          <w:sz w:val="24"/>
          <w:szCs w:val="24"/>
        </w:rPr>
        <w:t xml:space="preserve">Без учета стоимости переработки давальческого сырья, но с учетом покупной электроэнергии.</w:t>
      </w:r>
    </w:p>
    <w:p>
      <w:pPr>
        <w:spacing w:after="120"/>
        <w:jc w:val="both"/>
      </w:pPr>
      <w:hyperlink w:history="1" r:id="rIdw-6mtiho0lnu8ugl950oh">
        <w:r>
          <w:rPr>
            <w:rFonts w:ascii="Arial" w:cs="Arial" w:eastAsia="Arial" w:hAnsi="Arial"/>
            <w:color w:val="1D4ED8"/>
            <w:sz w:val="24"/>
            <w:szCs w:val="24"/>
            <w:u w:val="single"/>
          </w:rPr>
          <w:t xml:space="preserve">[18]</w:t>
        </w:r>
      </w:hyperlink>
      <w:r>
        <w:rPr>
          <w:rFonts w:ascii="Arial" w:cs="Arial" w:eastAsia="Arial" w:hAnsi="Arial"/>
          <w:sz w:val="24"/>
          <w:szCs w:val="24"/>
        </w:rPr>
        <w:t xml:space="preserve"> Данные за 2014 г., без учета малых предприятий</w:t>
      </w:r>
    </w:p>
    <w:p>
      <w:pPr>
        <w:spacing w:after="120"/>
        <w:jc w:val="both"/>
      </w:pPr>
      <w:hyperlink w:history="1" r:id="rIdtxwsnuna1jabx1fvwibaz">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r>
        <w:rPr>
          <w:rFonts w:ascii="Arial" w:cs="Arial" w:eastAsia="Arial" w:hAnsi="Arial"/>
          <w:sz w:val="18"/>
          <w:szCs w:val="18"/>
        </w:rPr>
        <w:t xml:space="preserve">Вместе с гор. Ош</w:t>
      </w:r>
    </w:p>
    <w:p>
      <w:pPr>
        <w:spacing w:after="120"/>
        <w:jc w:val="left"/>
      </w:pPr>
      <w:r>
        <w:rPr>
          <w:rFonts w:ascii="Arial" w:cs="Arial" w:eastAsia="Arial" w:hAnsi="Arial"/>
          <w:sz w:val="24"/>
          <w:szCs w:val="24"/>
        </w:rPr>
        <w:t xml:space="preserve"/>
      </w:r>
    </w:p>
    <w:p>
      <w:pPr>
        <w:spacing w:after="240" w:before="120"/>
        <w:jc w:val="both"/>
      </w:pPr>
      <w:hyperlink w:history="1" r:id="rId5w5bbf38thr1zfk0swncd">
        <w:r>
          <w:rPr>
            <w:rFonts w:ascii="Arial" w:cs="Arial" w:eastAsia="Arial" w:hAnsi="Arial"/>
            <w:b w:val="false"/>
            <w:bCs w:val="false"/>
            <w:i/>
            <w:iCs/>
            <w:color w:val="1D4ED8"/>
            <w:sz w:val="16"/>
            <w:szCs w:val="16"/>
            <w:u w:val="single"/>
          </w:rPr>
          <w:t xml:space="preserve">[u1]</w:t>
        </w:r>
      </w:hyperlink>
      <w:r>
        <w:rPr>
          <w:rFonts w:ascii="Arial" w:cs="Arial" w:eastAsia="Arial" w:hAnsi="Arial"/>
          <w:b w:val="false"/>
          <w:bCs w:val="false"/>
          <w:i/>
          <w:iCs/>
          <w:sz w:val="24"/>
          <w:szCs w:val="24"/>
        </w:rPr>
        <w:t xml:space="preserve">Ориентир один на 2013-2014 годы, поэтому будет некорректно писать во множественном числе</w:t>
      </w:r>
    </w:p>
    <w:p>
      <w:pPr>
        <w:spacing w:after="240" w:before="120"/>
        <w:jc w:val="both"/>
      </w:pPr>
      <w:hyperlink w:history="1" r:id="rIdub7kn4cwchjgu4-plnf-j">
        <w:r>
          <w:rPr>
            <w:rFonts w:ascii="Arial" w:cs="Arial" w:eastAsia="Arial" w:hAnsi="Arial"/>
            <w:b w:val="false"/>
            <w:bCs w:val="false"/>
            <w:i/>
            <w:iCs/>
            <w:color w:val="1D4ED8"/>
            <w:sz w:val="16"/>
            <w:szCs w:val="16"/>
            <w:u w:val="single"/>
          </w:rPr>
          <w:t xml:space="preserve">[u2]</w:t>
        </w:r>
      </w:hyperlink>
      <w:r>
        <w:rPr>
          <w:rFonts w:ascii="Arial" w:cs="Arial" w:eastAsia="Arial" w:hAnsi="Arial"/>
          <w:b w:val="false"/>
          <w:bCs w:val="false"/>
          <w:i/>
          <w:iCs/>
          <w:sz w:val="24"/>
          <w:szCs w:val="24"/>
        </w:rPr>
        <w:t xml:space="preserve">Изменение слова на тенденции меняет смысл, поэтому лучше оставить как есть</w:t>
      </w:r>
    </w:p>
    <w:p>
      <w:pPr>
        <w:spacing w:after="240" w:before="120"/>
        <w:jc w:val="both"/>
      </w:pPr>
      <w:hyperlink w:history="1" r:id="rId9vrcqtsby4gzbukbnxdvq">
        <w:r>
          <w:rPr>
            <w:rFonts w:ascii="Arial" w:cs="Arial" w:eastAsia="Arial" w:hAnsi="Arial"/>
            <w:b w:val="false"/>
            <w:bCs w:val="false"/>
            <w:i/>
            <w:iCs/>
            <w:color w:val="1D4ED8"/>
            <w:sz w:val="16"/>
            <w:szCs w:val="16"/>
            <w:u w:val="single"/>
          </w:rPr>
          <w:t xml:space="preserve">[u3]</w:t>
        </w:r>
      </w:hyperlink>
      <w:r>
        <w:rPr>
          <w:rFonts w:ascii="Arial" w:cs="Arial" w:eastAsia="Arial" w:hAnsi="Arial"/>
          <w:b w:val="false"/>
          <w:bCs w:val="false"/>
          <w:i/>
          <w:iCs/>
          <w:sz w:val="24"/>
          <w:szCs w:val="24"/>
        </w:rPr>
        <w:t xml:space="preserve">Сказали </w:t>
      </w:r>
    </w:p>
    <w:p>
      <w:pPr>
        <w:spacing w:after="240" w:before="120"/>
        <w:jc w:val="both"/>
      </w:pPr>
      <w:hyperlink w:history="1" r:id="rIdro-sgwhypdj4uhk_wmot-">
        <w:r>
          <w:rPr>
            <w:rFonts w:ascii="Arial" w:cs="Arial" w:eastAsia="Arial" w:hAnsi="Arial"/>
            <w:b w:val="false"/>
            <w:bCs w:val="false"/>
            <w:i/>
            <w:iCs/>
            <w:color w:val="1D4ED8"/>
            <w:sz w:val="16"/>
            <w:szCs w:val="16"/>
            <w:u w:val="single"/>
          </w:rPr>
          <w:t xml:space="preserve">[u4]</w:t>
        </w:r>
      </w:hyperlink>
      <w:r>
        <w:rPr>
          <w:rFonts w:ascii="Arial" w:cs="Arial" w:eastAsia="Arial" w:hAnsi="Arial"/>
          <w:b w:val="false"/>
          <w:bCs w:val="false"/>
          <w:i/>
          <w:iCs/>
          <w:sz w:val="24"/>
          <w:szCs w:val="24"/>
        </w:rPr>
        <w:t xml:space="preserve">Внизу указаны что влияет</w:t>
      </w:r>
    </w:p>
    <w:p>
      <w:pPr>
        <w:spacing w:after="120"/>
        <w:jc w:val="both"/>
      </w:pPr>
      <w:hyperlink w:history="1" r:id="rIdx2vdxjbpdxcgttz3cmpyg">
        <w:r>
          <w:rPr>
            <w:rFonts w:ascii="Arial" w:cs="Arial" w:eastAsia="Arial" w:hAnsi="Arial"/>
            <w:b w:val="false"/>
            <w:bCs w:val="false"/>
            <w:color w:val="1D4ED8"/>
            <w:sz w:val="16"/>
            <w:szCs w:val="16"/>
            <w:u w:val="single"/>
          </w:rPr>
          <w:t xml:space="preserve">[u5]</w:t>
        </w:r>
      </w:hyperlink>
      <w:r>
        <w:rPr>
          <w:rFonts w:ascii="Arial" w:cs="Arial" w:eastAsia="Arial" w:hAnsi="Arial"/>
          <w:b w:val="false"/>
          <w:bCs w:val="false"/>
          <w:sz w:val="20"/>
          <w:szCs w:val="20"/>
        </w:rPr>
        <w:t xml:space="preserve">Это офиц название по данным НСК КР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aobhesfzu-6ios8qvnoe">
      <w:r>
        <w:rPr>
          <w:rFonts w:ascii="Arial" w:cs="Arial" w:eastAsia="Arial" w:hAnsi="Arial"/>
          <w:color w:val="132D3F"/>
          <w:sz w:val="16"/>
          <w:szCs w:val="16"/>
          <w:u w:val="single"/>
        </w:rPr>
        <w:t xml:space="preserve">dalil.kg/document/97609</w:t>
      </w:r>
    </w:hyperlink>
  </w:p>
  <w:p>
    <w:pPr>
      <w:spacing w:after="0" w:before="40"/>
      <w:jc w:val="center"/>
    </w:pPr>
    <w:hyperlink w:history="1" r:id="rIdhjmtl3ogam344kdzmks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y7cb2vcnr02lxhcx-h2" Type="http://schemas.openxmlformats.org/officeDocument/2006/relationships/hyperlink" Target="https://dalil.kg/document/202530" TargetMode="External"/><Relationship Id="rId0rcetmj9shw2nokjfgm4o" Type="http://schemas.openxmlformats.org/officeDocument/2006/relationships/hyperlink" Target="https://dalil.kg/document/203685" TargetMode="External"/><Relationship Id="rIdk5z27hofild2fad_evjnk" Type="http://schemas.openxmlformats.org/officeDocument/2006/relationships/hyperlink" Target="https://dalil.kg/document/97609#p1" TargetMode="External"/><Relationship Id="rIdudqbrqdmwdbfqaaxnmn-5" Type="http://schemas.openxmlformats.org/officeDocument/2006/relationships/hyperlink" Target="https://dalil.kg/document/97609#_ftn1" TargetMode="External"/><Relationship Id="rIdrssa4yw5owzhhhychjvgb" Type="http://schemas.openxmlformats.org/officeDocument/2006/relationships/hyperlink" Target="https://dalil.kg/document/97609#_msocom_1" TargetMode="External"/><Relationship Id="rIdmarozdj80rghf_yxika1k" Type="http://schemas.openxmlformats.org/officeDocument/2006/relationships/hyperlink" Target="https://dalil.kg/document/97609#_ftn2" TargetMode="External"/><Relationship Id="rIdbw1xtbneappgh63hyvpwn" Type="http://schemas.openxmlformats.org/officeDocument/2006/relationships/hyperlink" Target="https://dalil.kg/document/97609#_msocom_2" TargetMode="External"/><Relationship Id="rIdqjqhrroqgc7dgs1yhqgtn" Type="http://schemas.openxmlformats.org/officeDocument/2006/relationships/hyperlink" Target="https://dalil.kg/document/97609#_ftn3" TargetMode="External"/><Relationship Id="rIdosagfeknd9lsutb0r7brm" Type="http://schemas.openxmlformats.org/officeDocument/2006/relationships/hyperlink" Target="https://dalil.kg/document/97609#_ftn4" TargetMode="External"/><Relationship Id="rId7aqxe2xcnwl2yccgogewz" Type="http://schemas.openxmlformats.org/officeDocument/2006/relationships/hyperlink" Target="https://dalil.kg/document/97609#_ftn5" TargetMode="External"/><Relationship Id="rIdpzpmp2xurk3yqowqwppjm" Type="http://schemas.openxmlformats.org/officeDocument/2006/relationships/hyperlink" Target="https://dalil.kg/document/97609#_msocom_3" TargetMode="External"/><Relationship Id="rId16_sy_gp5wbo_mrmzprmv" Type="http://schemas.openxmlformats.org/officeDocument/2006/relationships/hyperlink" Target="https://dalil.kg/document/97609#_ftn6" TargetMode="External"/><Relationship Id="rIdqqhukytujkxjl3axr7a9v" Type="http://schemas.openxmlformats.org/officeDocument/2006/relationships/hyperlink" Target="https://dalil.kg/document/97609#_msocom_4" TargetMode="External"/><Relationship Id="rId02t-ap5mw8gsbrgxvkbxp" Type="http://schemas.openxmlformats.org/officeDocument/2006/relationships/hyperlink" Target="https://dalil.kg/document/97609#_ftn7" TargetMode="External"/><Relationship Id="rIdmp8yhlaezjwn0qjmolls1" Type="http://schemas.openxmlformats.org/officeDocument/2006/relationships/hyperlink" Target="https://dalil.kg/document/97609#_ftn8" TargetMode="External"/><Relationship Id="rId3k3gkcj0pihp3uazztxup" Type="http://schemas.openxmlformats.org/officeDocument/2006/relationships/hyperlink" Target="https://dalil.kg/document/97609#_ftn9" TargetMode="External"/><Relationship Id="rIdhi99re7xdfoxyxv-ljsit" Type="http://schemas.openxmlformats.org/officeDocument/2006/relationships/hyperlink" Target="https://dalil.kg/document/97609#_ftn10" TargetMode="External"/><Relationship Id="rIdlzycgnscm0v_wdya_nnv1" Type="http://schemas.openxmlformats.org/officeDocument/2006/relationships/hyperlink" Target="https://dalil.kg/document/97609#_ftn11" TargetMode="External"/><Relationship Id="rIdnmxgik0jqbntkanuzrtbh" Type="http://schemas.openxmlformats.org/officeDocument/2006/relationships/hyperlink" Target="https://dalil.kg/document/97609#_ftn12" TargetMode="External"/><Relationship Id="rId61xmsdyq4np_14bpbbndv" Type="http://schemas.openxmlformats.org/officeDocument/2006/relationships/hyperlink" Target="https://dalil.kg/document/97609#_ftn13" TargetMode="External"/><Relationship Id="rIdnlukyum0bmhwo8sjnqcc2" Type="http://schemas.openxmlformats.org/officeDocument/2006/relationships/hyperlink" Target="https://dalil.kg/document/97609#_ftn14" TargetMode="External"/><Relationship Id="rIdrx_xvk_tco2j7yws3e8x9" Type="http://schemas.openxmlformats.org/officeDocument/2006/relationships/hyperlink" Target="https://dalil.kg/document/97609#_ftn15" TargetMode="External"/><Relationship Id="rIdofdy2dvqcfoxkpngvgus2" Type="http://schemas.openxmlformats.org/officeDocument/2006/relationships/hyperlink" Target="https://dalil.kg/document/97609#_ftn16" TargetMode="External"/><Relationship Id="rId6iuzby5wymth474chchjx" Type="http://schemas.openxmlformats.org/officeDocument/2006/relationships/hyperlink" Target="https://dalil.kg/document/97609#_msocom_5" TargetMode="External"/><Relationship Id="rIdufwtfi6wwbpqw32enwbts" Type="http://schemas.openxmlformats.org/officeDocument/2006/relationships/hyperlink" Target="https://dalil.kg/document/97609#_ftn17" TargetMode="External"/><Relationship Id="rIdef3uxxt7y3ka9gqgo5f-x" Type="http://schemas.openxmlformats.org/officeDocument/2006/relationships/hyperlink" Target="https://dalil.kg/document/97609#_ftn18" TargetMode="External"/><Relationship Id="rIdialmawhbaaapbyjdvyncv" Type="http://schemas.openxmlformats.org/officeDocument/2006/relationships/hyperlink" Target="https://dalil.kg/document/97609#_ftn19" TargetMode="External"/><Relationship Id="rIdg2w1go0fpt-wp1rj3kpnt" Type="http://schemas.openxmlformats.org/officeDocument/2006/relationships/hyperlink" Target="https://dalil.kg/document/97609#_ftn20" TargetMode="External"/><Relationship Id="rIdvtmsmkexz60cprglv5dii" Type="http://schemas.openxmlformats.org/officeDocument/2006/relationships/hyperlink" Target="https://dalil.kg/document/97609#_ftnref1" TargetMode="External"/><Relationship Id="rId-vagarr9rf-zb1peiarxe" Type="http://schemas.openxmlformats.org/officeDocument/2006/relationships/hyperlink" Target="https://dalil.kg/document/97609#_ftnref2" TargetMode="External"/><Relationship Id="rIdsd3h9-f4fbdq-hr9ehd2g" Type="http://schemas.openxmlformats.org/officeDocument/2006/relationships/hyperlink" Target="https://dalil.kg/document/97609#_ftnref3" TargetMode="External"/><Relationship Id="rIdjpxemcf6oz2iff60upu6o" Type="http://schemas.openxmlformats.org/officeDocument/2006/relationships/hyperlink" Target="https://dalil.kg/document/97609#_ftnref4" TargetMode="External"/><Relationship Id="rIdfl0svzr3zpbqsxtglbh7a" Type="http://schemas.openxmlformats.org/officeDocument/2006/relationships/hyperlink" Target="https://dalil.kg/document/97609#_ftnref5" TargetMode="External"/><Relationship Id="rIdexkf3praqez3mubcihc6q" Type="http://schemas.openxmlformats.org/officeDocument/2006/relationships/hyperlink" Target="https://dalil.kg/document/97609#_ftnref6" TargetMode="External"/><Relationship Id="rIdqxncdzmt6wcdnuzut4xu7" Type="http://schemas.openxmlformats.org/officeDocument/2006/relationships/hyperlink" Target="https://dalil.kg/document/97609#_ftnref7" TargetMode="External"/><Relationship Id="rId3u7h9rmddecacje-2avgi" Type="http://schemas.openxmlformats.org/officeDocument/2006/relationships/hyperlink" Target="https://dalil.kg/document/97609#_ftnref8" TargetMode="External"/><Relationship Id="rIdlh8pa6body9m_nkrjfdul" Type="http://schemas.openxmlformats.org/officeDocument/2006/relationships/hyperlink" Target="https://dalil.kg/document/97609#_ftnref9" TargetMode="External"/><Relationship Id="rIdbgv8ianmhu2nnrpzso0kw" Type="http://schemas.openxmlformats.org/officeDocument/2006/relationships/hyperlink" Target="https://dalil.kg/document/97609#_ftnref10" TargetMode="External"/><Relationship Id="rIdyxrv_kof-9qd56y83mltc" Type="http://schemas.openxmlformats.org/officeDocument/2006/relationships/hyperlink" Target="https://dalil.kg/document/97609#_ftnref11" TargetMode="External"/><Relationship Id="rId6d1r7so2ajrhihl_ura0w" Type="http://schemas.openxmlformats.org/officeDocument/2006/relationships/hyperlink" Target="https://dalil.kg/document/97609#_ftnref12" TargetMode="External"/><Relationship Id="rIdbm9outl5di9g_lsrlkzz1" Type="http://schemas.openxmlformats.org/officeDocument/2006/relationships/hyperlink" Target="https://dalil.kg/document/97609#_ftnref13" TargetMode="External"/><Relationship Id="rIdujmnpo2arrcqepi2xtdry" Type="http://schemas.openxmlformats.org/officeDocument/2006/relationships/hyperlink" Target="https://dalil.kg/document/97609#_ftnref14" TargetMode="External"/><Relationship Id="rIdtymrl998rm0sp8eb98xrw" Type="http://schemas.openxmlformats.org/officeDocument/2006/relationships/hyperlink" Target="https://dalil.kg/document/97609#_ftnref15" TargetMode="External"/><Relationship Id="rIda8s5jra9iypzurnhzoxk8" Type="http://schemas.openxmlformats.org/officeDocument/2006/relationships/hyperlink" Target="https://dalil.kg/document/97609#_ftnref16" TargetMode="External"/><Relationship Id="rIdew0dmmmrh8sndnxinh63p" Type="http://schemas.openxmlformats.org/officeDocument/2006/relationships/hyperlink" Target="https://dalil.kg/document/97609#_ftnref17" TargetMode="External"/><Relationship Id="rId-dju7evslsfth6blsxyxf" Type="http://schemas.openxmlformats.org/officeDocument/2006/relationships/hyperlink" Target="https://dalil.kg/document/97609#_ftnref18" TargetMode="External"/><Relationship Id="rIdw-6mtiho0lnu8ugl950oh" Type="http://schemas.openxmlformats.org/officeDocument/2006/relationships/hyperlink" Target="https://dalil.kg/document/97609#_ftnref19" TargetMode="External"/><Relationship Id="rIdtxwsnuna1jabx1fvwibaz" Type="http://schemas.openxmlformats.org/officeDocument/2006/relationships/hyperlink" Target="https://dalil.kg/document/97609#_ftnref20" TargetMode="External"/><Relationship Id="rId5w5bbf38thr1zfk0swncd" Type="http://schemas.openxmlformats.org/officeDocument/2006/relationships/hyperlink" Target="https://dalil.kg/document/97609#_msoanchor_1" TargetMode="External"/><Relationship Id="rIdub7kn4cwchjgu4-plnf-j" Type="http://schemas.openxmlformats.org/officeDocument/2006/relationships/hyperlink" Target="https://dalil.kg/document/97609#_msoanchor_2" TargetMode="External"/><Relationship Id="rId9vrcqtsby4gzbukbnxdvq" Type="http://schemas.openxmlformats.org/officeDocument/2006/relationships/hyperlink" Target="https://dalil.kg/document/97609#_msoanchor_3" TargetMode="External"/><Relationship Id="rIdro-sgwhypdj4uhk_wmot-" Type="http://schemas.openxmlformats.org/officeDocument/2006/relationships/hyperlink" Target="https://dalil.kg/document/97609#_msoanchor_4" TargetMode="External"/><Relationship Id="rIdx2vdxjbpdxcgttz3cmpyg" Type="http://schemas.openxmlformats.org/officeDocument/2006/relationships/hyperlink" Target="https://dalil.kg/document/97609#_msoanchor_5" TargetMode="External"/><Relationship Id="rId8" Type="http://schemas.openxmlformats.org/officeDocument/2006/relationships/image" Target="media/8de64316e95979c063c17bcd5380dc052a2594e9.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aobhesfzu-6ios8qvnoe" Type="http://schemas.openxmlformats.org/officeDocument/2006/relationships/hyperlink" Target="https://dalil.kg/document/97609" TargetMode="External"/><Relationship Id="rIdhjmtl3ogam344kdzmks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2026-10-01T20:00:03.943Z</dcterms:created>
  <dcterms:modified xsi:type="dcterms:W3CDTF">2026-10-01T20:00:03.943Z</dcterms:modified>
</cp:coreProperties>
</file>

<file path=docProps/custom.xml><?xml version="1.0" encoding="utf-8"?>
<Properties xmlns="http://schemas.openxmlformats.org/officeDocument/2006/custom-properties" xmlns:vt="http://schemas.openxmlformats.org/officeDocument/2006/docPropsVTypes"/>
</file>