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fqsdcultsvcdmdggjl78x">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от 26 апреля 2016 года № 215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25 мая 2015 года № 319</w:t>
      </w:r>
    </w:p>
    <w:p>
      <w:pPr>
        <w:spacing w:after="480" w:before="2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2015/2016 года</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yvbv1qjfj372ujuc4h5os">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eloxctcjuza3hdzv93t6v">
        <w:r>
          <w:rPr>
            <w:rFonts w:ascii="Arial" w:cs="Arial" w:eastAsia="Arial" w:hAnsi="Arial"/>
            <w:color w:val="1D4ED8"/>
            <w:sz w:val="24"/>
            <w:szCs w:val="24"/>
            <w:u w:val="single"/>
          </w:rPr>
          <w:t xml:space="preserve">12 октября 2015 года № 704</w:t>
        </w:r>
      </w:hyperlink>
      <w:r>
        <w:rPr>
          <w:rFonts w:ascii="Arial" w:cs="Arial" w:eastAsia="Arial" w:hAnsi="Arial"/>
          <w:sz w:val="24"/>
          <w:szCs w:val="24"/>
        </w:rPr>
        <w:t xml:space="preserve">, </w:t>
      </w:r>
      <w:hyperlink w:history="1" r:id="rIdl8m4v61lvcsx2iybyeb0n">
        <w:r>
          <w:rPr>
            <w:rFonts w:ascii="Arial" w:cs="Arial" w:eastAsia="Arial" w:hAnsi="Arial"/>
            <w:color w:val="1D4ED8"/>
            <w:sz w:val="24"/>
            <w:szCs w:val="24"/>
            <w:u w:val="single"/>
          </w:rPr>
          <w:t xml:space="preserve">14 марта 2016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2015/2016 года, в соответствии со статьями 10 и 17 </w:t>
      </w:r>
      <w:hyperlink w:history="1" r:id="rIdpxl-85rjn2j5dthhr5ir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2015/2016 года (далее - План) согласно </w:t>
      </w:r>
      <w:hyperlink w:history="1" r:id="rId3cmbt1cresskhbeioy39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Министерствам, административным ведомствам, государственным предприятиям "Кыргызкомур" и "Кыргызжилкоммунсоюз" при Министерстве энергетики и промышленности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"Газпром Кыргызстан" и муниципальному предприятию "Теплоснабжение" города Ош:</w:t>
      </w:r>
    </w:p>
    <w:p>
      <w:pPr>
        <w:spacing w:after="120"/>
        <w:jc w:val="both"/>
      </w:pPr>
      <w:r>
        <w:rPr>
          <w:rFonts w:ascii="Arial" w:cs="Arial" w:eastAsia="Arial" w:hAnsi="Arial"/>
          <w:sz w:val="24"/>
          <w:szCs w:val="24"/>
        </w:rPr>
        <w:t xml:space="preserve">- обеспечить выполнение Плана, лимитов потребления электрической энергии и мощности, графиков и заданий согласно приложениям </w:t>
      </w:r>
      <w:hyperlink w:history="1" r:id="rIdwqlbxffq_8ahklai0zcll">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8cjolniche8b9xsan1bla">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срок до 15 августа 2015 года провести конкурсы с целью определения поставщиков топлива для бюджетных организаций, заключить с ними договоры. Конкурсным комиссиям министерств и административных ведомств, государственному предприятию "Кыргызжилкоммунсоюз" при Министерстве энергетики и промышленности Кыргызской Республики, по согласованию: открытому акционерному обществу "Электрические станции", коммунальному предприятию "Бишкектеплоэнерго" при мэрии города Бишкек, муниципальному предприятию "Теплоснабжение" города Ош при проведении конкурсов на поставку местного угля для бюджетных организаций и ТЭЦ города Бишкек, в качестве временной меры на период подготовки к осенне-зимнему периоду 2015/2016 года, допускать к участию в конкурсах угольные предприятия Кыргызской Республики, несмотря на наличие у них задолженности перед бюджетом и Социальным фондом Кыргызской Республики.</w:t>
      </w:r>
    </w:p>
    <w:p>
      <w:pPr>
        <w:spacing w:after="120"/>
        <w:jc w:val="both"/>
      </w:pPr>
      <w:r>
        <w:rPr>
          <w:rFonts w:ascii="Arial" w:cs="Arial" w:eastAsia="Arial" w:hAnsi="Arial"/>
          <w:sz w:val="24"/>
          <w:szCs w:val="24"/>
        </w:rPr>
        <w:t xml:space="preserve">- в срок до 10 августа 2015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 не позднее 10 числа месяца, следующего за отчетным периодом, включая информацию о проведении тендеров на поставку угля, о выполнении плановых заданий по заготовке топлива, создании топливных баз и пунктов реализации угля, с указанием цен на уголь.</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waa5frxej9qzwkydxdghu">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Министерствам, административным ведомствам, государственному предприятию "Кыргызжилкоммунсоюз" при Министерстве энергетики и промышленности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и муниципальному предприятию "Теплоснабжение" города Ош в срок до 1 июля 2015 года разработать планы мероприятий поэтапного перевода отопительных котельных, использующих электроэнергию для выработки тепловой энергии, на твердое топливо в пределах средств, предусмотренных в соответствующих бюджетах на 2015-2017 годы, и представить в Министерство энергетики и промышленности Кыргызской Республики и Министерство финансов Кыргызской Республики.</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d9_3ulnodqs_cyi2hp3ba">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в срок до 1 сентября 2015 года утвердить цены на уголь угледобывающих предприятий Кыргызской Республики, включенных в перечень предприятий-монополистов, для поставки угля на внутренний рынок республики и населению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 в срок до 1 октября 2015 года определить цены на перевозку угля автотранспортными средствами по маршруту разрез "Кара-Кече" - железнодорожная станция Балыкчы и рекомендовать их для использования.</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go5rlfz4bm1cqlfkykymw">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Министерству финансов Кыргызской Республики:</w:t>
      </w:r>
    </w:p>
    <w:p>
      <w:pPr>
        <w:spacing w:after="120"/>
        <w:jc w:val="both"/>
      </w:pPr>
      <w:r>
        <w:rPr>
          <w:rFonts w:ascii="Arial" w:cs="Arial" w:eastAsia="Arial" w:hAnsi="Arial"/>
          <w:sz w:val="24"/>
          <w:szCs w:val="24"/>
        </w:rPr>
        <w:t xml:space="preserve">- осуществлять ежемесячное выделение средств, финансируемым из республиканского бюджета, на оплату за электрическую, тепловую энергию и природный газ в объеме, предусмотренном Законом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 обеспечить своевременное поквартальное выделение компенсационных средств жителям высокогорных районов за 2015 год в пределах средств, предусмотренных </w:t>
      </w:r>
      <w:hyperlink w:history="1" r:id="rIdzozo1tza1zfkqreqz28f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 обеспечить своевременное выделение 20-процентной предоплаты на приобретение топлива, после представления, финансируемыми из республиканского бюджета, заключенных и надлежащим образом оформленных договоров на поставку угля и топочного мазута, в срок не позднее 30 дней со дня их представления, и обеспечить полное и своевременное финансирование расходов за поставленную продукцию;</w:t>
      </w:r>
    </w:p>
    <w:p>
      <w:pPr>
        <w:spacing w:after="120"/>
        <w:jc w:val="both"/>
      </w:pPr>
      <w:r>
        <w:rPr>
          <w:rFonts w:ascii="Arial" w:cs="Arial" w:eastAsia="Arial" w:hAnsi="Arial"/>
          <w:sz w:val="24"/>
          <w:szCs w:val="24"/>
        </w:rPr>
        <w:t xml:space="preserve">- предусмотреть выделение дополнительных средств государственному предприятию "Кыргызжилкоммунсоюз" при Министерстве энергетики и промышленности Кыргызской Республики в размере 500,0 млн. сомов на погашение задолженности перед поставщиками топлива и субсидирование тепловой энергии;</w:t>
      </w:r>
    </w:p>
    <w:p>
      <w:pPr>
        <w:spacing w:after="120"/>
        <w:jc w:val="both"/>
      </w:pPr>
      <w:r>
        <w:rPr>
          <w:rFonts w:ascii="Arial" w:cs="Arial" w:eastAsia="Arial" w:hAnsi="Arial"/>
          <w:sz w:val="24"/>
          <w:szCs w:val="24"/>
        </w:rPr>
        <w:t xml:space="preserve">- совместно с Министерством энергетики и промышленности Кыргызской Республики в срок до 1 июля 2015 года проработать и внести в Аппарат Правительства Кыргызской Республики предложения по решению следующих вопросов:</w:t>
      </w:r>
    </w:p>
    <w:p>
      <w:pPr>
        <w:spacing w:after="120"/>
        <w:jc w:val="both"/>
      </w:pPr>
      <w:r>
        <w:rPr>
          <w:rFonts w:ascii="Arial" w:cs="Arial" w:eastAsia="Arial" w:hAnsi="Arial"/>
          <w:sz w:val="24"/>
          <w:szCs w:val="24"/>
        </w:rPr>
        <w:t xml:space="preserve">выделение бюджетной ссуды открытому акционерному обществу "Электрические станции" в размере до 5,4 млрд. сомов на заготовку топливных ресурсов для тепловых станций;</w:t>
      </w:r>
    </w:p>
    <w:p>
      <w:pPr>
        <w:spacing w:after="120"/>
        <w:jc w:val="both"/>
      </w:pPr>
      <w:r>
        <w:rPr>
          <w:rFonts w:ascii="Arial" w:cs="Arial" w:eastAsia="Arial" w:hAnsi="Arial"/>
          <w:sz w:val="24"/>
          <w:szCs w:val="24"/>
        </w:rPr>
        <w:t xml:space="preserve">выделение бюджетной ссуды открытому акционерному обществу "Электрические станции" в размере до 3,1 млрд. сомов для осуществления импорта электрической энергии в целях обеспечения необходимого объема воды в Токтогульском водохранилище;</w:t>
      </w:r>
    </w:p>
    <w:p>
      <w:pPr>
        <w:spacing w:after="120"/>
        <w:jc w:val="both"/>
      </w:pPr>
      <w:r>
        <w:rPr>
          <w:rFonts w:ascii="Arial" w:cs="Arial" w:eastAsia="Arial" w:hAnsi="Arial"/>
          <w:sz w:val="24"/>
          <w:szCs w:val="24"/>
        </w:rPr>
        <w:t xml:space="preserve">реструктуризация задолженности открытого акционерного общества "Электрические станции" по ранее полученным бюджетным ссудам и кредитам;</w:t>
      </w:r>
    </w:p>
    <w:p>
      <w:pPr>
        <w:spacing w:after="120"/>
        <w:jc w:val="both"/>
      </w:pPr>
      <w:r>
        <w:rPr>
          <w:rFonts w:ascii="Arial" w:cs="Arial" w:eastAsia="Arial" w:hAnsi="Arial"/>
          <w:sz w:val="24"/>
          <w:szCs w:val="24"/>
        </w:rPr>
        <w:t xml:space="preserve">финансирование мероприятий по реализации Плана поэтапного перевода отопительных котельных, использующих электроэнергию для выработки тепловой энергии, на твердое топливо;</w:t>
      </w:r>
    </w:p>
    <w:p>
      <w:pPr>
        <w:spacing w:after="120"/>
        <w:jc w:val="both"/>
      </w:pPr>
      <w:r>
        <w:rPr>
          <w:rFonts w:ascii="Arial" w:cs="Arial" w:eastAsia="Arial" w:hAnsi="Arial"/>
          <w:sz w:val="24"/>
          <w:szCs w:val="24"/>
        </w:rPr>
        <w:t xml:space="preserve">начисление и погашение ранее начисленной пени бюджетным организациям, финансируемым из республиканского бюджета, за несвоевременную оплату за потребленные электрическую, тепловую энергию и природный газ.</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x4jzv8mo8sapvwubagim9">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Министерствам,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по согласованию: мэриям городов Бишкек и Ош:</w:t>
      </w:r>
    </w:p>
    <w:p>
      <w:pPr>
        <w:spacing w:after="120"/>
        <w:jc w:val="both"/>
      </w:pPr>
      <w:r>
        <w:rPr>
          <w:rFonts w:ascii="Arial" w:cs="Arial" w:eastAsia="Arial" w:hAnsi="Arial"/>
          <w:sz w:val="24"/>
          <w:szCs w:val="24"/>
        </w:rPr>
        <w:t xml:space="preserve">- в срок до 1 сентября 2015 года погасить задолженность бюджетных потребителей перед предприятиями топливно-энергетического комплекса за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обеспечить в полном объеме своевременную оплату за потребленные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120"/>
        <w:jc w:val="both"/>
      </w:pPr>
      <w:r>
        <w:rPr>
          <w:rFonts w:ascii="Arial" w:cs="Arial" w:eastAsia="Arial" w:hAnsi="Arial"/>
          <w:sz w:val="24"/>
          <w:szCs w:val="24"/>
        </w:rPr>
        <w:t xml:space="preserve">- довести до каждой организации, финансируемой из республиканского и местного бюджетов, лимиты потребления электрической энергии и мощности с возложением персональной ответственности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открытых акционерных обществ "Северэлектро", "Ошэлектро", "Востокэлектро", "Жалалабатэлектро" и "Национальная электрическая сеть Кыргызстана" за выполнение установленных величин потребления электрической энергии и мощности.</w:t>
      </w:r>
    </w:p>
    <w:p>
      <w:pPr>
        <w:spacing w:after="120"/>
        <w:jc w:val="both"/>
      </w:pPr>
      <w:r>
        <w:rPr>
          <w:rFonts w:ascii="Arial" w:cs="Arial" w:eastAsia="Arial" w:hAnsi="Arial"/>
          <w:sz w:val="24"/>
          <w:szCs w:val="24"/>
        </w:rPr>
        <w:t xml:space="preserve">7.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на постоянной основе осуществлять контроль за соблюдением лимитов потребления электрической энергии бюджетными потребителями, утвержденных </w:t>
      </w:r>
      <w:hyperlink w:history="1" r:id="rIdpm1mwt0xbmkbjauknp3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2015 год" от 2 марта 2015 года № 87, на основании ежемесячной информации электроснабжающих организаций.</w:t>
      </w:r>
    </w:p>
    <w:p>
      <w:pPr>
        <w:spacing w:after="120"/>
        <w:jc w:val="both"/>
      </w:pPr>
      <w:r>
        <w:rPr>
          <w:rFonts w:ascii="Arial" w:cs="Arial" w:eastAsia="Arial" w:hAnsi="Arial"/>
          <w:sz w:val="24"/>
          <w:szCs w:val="24"/>
        </w:rPr>
        <w:t xml:space="preserve">8. Государственной таможенной службе при Правительстве Кыргызской Республики и Государственной пограничной службе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9. Государственной таможенной службе при Правительстве Кыргызской Республики, Государственной налоговой службе при Правительстве Кыргызской Республики, Министерству финансов Кыргызской Республики обеспечить открытому акционерному обществу "Электрические станции" своевременное возмещение суммы превышения по налогу на добавленную стоимость при погашении налога на добавленную стоимость на импорт электрической энергии.</w:t>
      </w:r>
    </w:p>
    <w:p>
      <w:pPr>
        <w:spacing w:after="120"/>
        <w:jc w:val="both"/>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Социальному фонду Кыргызской Республики, Государственной таможенной службе при Правительстве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мер по закрытию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общества с ограниченной ответственностью "Газпром Кыргызстан", коммунального предприятия "Бишкектеплоэнерго" мэрии города Бишкек, муниципального предприятия "Теплоснабжение" мэрии города Ош, государственных предприятий "Кыргызжилкоммунсоюз" и "Кыргызкомур" при Министерстве энергетики и промышленности Кыргызской Республики и угледобывающих предприятий, задействованных в заготовке топлива.</w:t>
      </w:r>
    </w:p>
    <w:p>
      <w:pPr>
        <w:spacing w:after="120"/>
        <w:jc w:val="both"/>
      </w:pPr>
      <w:r>
        <w:rPr>
          <w:rFonts w:ascii="Arial" w:cs="Arial" w:eastAsia="Arial" w:hAnsi="Arial"/>
          <w:sz w:val="24"/>
          <w:szCs w:val="24"/>
        </w:rPr>
        <w:t xml:space="preserve">11.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осуществлять координацию и мониторинг выполнения Плана, лимитов потребления электрической энергии и мощности, графиков и заданий согласно приложениям </w:t>
      </w:r>
      <w:hyperlink w:history="1" r:id="rIdlrumyz9dfidp5e8j8wpe0">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9nkdpaoiwihzsnasu0tje">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принять меры по обеспечению выполнения открытыми акционерными обществами "Электрические станции", "Национальная электрическая сеть Кыргызстана", "Кыргызнефтегаз", "Северэлектро", "Востокэлектро", "Ошэлектро", "Жалалабатэлектро" и "Бишкектеплосеть", обществом с ограниченной ответственностью "Газпром Кыргызстан", государственными предприятиями "Кыргызкомур" и "Кыргызжилкоммунсоюз" при Министерстве энергетики и промышленности Кыргызской Республики Плана, лимитов потребления электрической энергии и мощности, графиков и заданий согласно приложениям </w:t>
      </w:r>
      <w:hyperlink w:history="1" r:id="rIdudsanmmxqm4ml6fat5mun">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xmw3l7wqftrtj9r6zi6-b">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совместно с мэриями городов Бишкек и Ош, открытыми акционерными обществами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всех потребителей республики;</w:t>
      </w:r>
    </w:p>
    <w:p>
      <w:pPr>
        <w:spacing w:after="120"/>
        <w:jc w:val="both"/>
      </w:pPr>
      <w:r>
        <w:rPr>
          <w:rFonts w:ascii="Arial" w:cs="Arial" w:eastAsia="Arial" w:hAnsi="Arial"/>
          <w:sz w:val="24"/>
          <w:szCs w:val="24"/>
        </w:rPr>
        <w:t xml:space="preserve">- совместно с Фондом по управлению государственным имуществом при Правительстве Кыргызской Республики и государственным предприятием "Бишкекский штамповочный завод" до 30 октября 2015 года ввести в работу подстанцию ПС 110 кВ "Завод имени Ленина" и перераспределить нагрузки открытого акционерного общества "Северэлектро" на данную подстанцию.</w:t>
      </w:r>
    </w:p>
    <w:p>
      <w:pPr>
        <w:spacing w:after="120"/>
        <w:jc w:val="both"/>
      </w:pPr>
      <w:r>
        <w:rPr>
          <w:rFonts w:ascii="Arial" w:cs="Arial" w:eastAsia="Arial" w:hAnsi="Arial"/>
          <w:sz w:val="24"/>
          <w:szCs w:val="24"/>
        </w:rPr>
        <w:t xml:space="preserve">12. Государственному агентству по регулированию топливно-энергетического комплекса при Правительстве Кыргызской Республики в целях своевременной разработки планов и проведения тендеров на поставку продукции и выполнения работ обеспечить своевременное установление тарифов на поставку и передачу электроэнергии и утверждение затрат энергетическим предприятиям для осуществления производственной деятельности.</w:t>
      </w:r>
    </w:p>
    <w:p>
      <w:pPr>
        <w:spacing w:after="120"/>
        <w:jc w:val="both"/>
      </w:pPr>
      <w:r>
        <w:rPr>
          <w:rFonts w:ascii="Arial" w:cs="Arial" w:eastAsia="Arial" w:hAnsi="Arial"/>
          <w:sz w:val="24"/>
          <w:szCs w:val="24"/>
        </w:rPr>
        <w:t xml:space="preserve">13. Государственному предприятию "Кыргызкомур"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 обеспечить в полном объеме своевременное исполнение утвержденных настоящим постановлением графиков поставки местного угля для топливных баз и пунктов реализации угля для населения республики;</w:t>
      </w:r>
    </w:p>
    <w:p>
      <w:pPr>
        <w:spacing w:after="120"/>
        <w:jc w:val="both"/>
      </w:pPr>
      <w:r>
        <w:rPr>
          <w:rFonts w:ascii="Arial" w:cs="Arial" w:eastAsia="Arial" w:hAnsi="Arial"/>
          <w:sz w:val="24"/>
          <w:szCs w:val="24"/>
        </w:rPr>
        <w:t xml:space="preserve">- совместно с угледобывающими предприятиями обеспечить поставку угля надлежащего качества в сроки в соответствии с договорами, заключенными с открытым акционерным обществом "Электрические станции", государственным предприятием "Кыргызжилкоммунсоюз" при Министерстве энергетики и промышленности Кыргызской Республики, коммунальным предприятием "Бишкектеплоэнерго" мэрии города Бишкек и бюджетными организациями.</w:t>
      </w:r>
    </w:p>
    <w:p>
      <w:pPr>
        <w:spacing w:after="120"/>
        <w:jc w:val="both"/>
      </w:pPr>
      <w:r>
        <w:rPr>
          <w:rFonts w:ascii="Arial" w:cs="Arial" w:eastAsia="Arial" w:hAnsi="Arial"/>
          <w:sz w:val="24"/>
          <w:szCs w:val="24"/>
        </w:rPr>
        <w:t xml:space="preserve">14. Рекомендовать открытому акционерному обществу "Электрические станции":</w:t>
      </w:r>
    </w:p>
    <w:p>
      <w:pPr>
        <w:spacing w:after="120"/>
        <w:jc w:val="both"/>
      </w:pPr>
      <w:r>
        <w:rPr>
          <w:rFonts w:ascii="Arial" w:cs="Arial" w:eastAsia="Arial" w:hAnsi="Arial"/>
          <w:sz w:val="24"/>
          <w:szCs w:val="24"/>
        </w:rPr>
        <w:t xml:space="preserve">- обеспечить режим использования водных ресурсов Токтогульского водохранилища в течение 2015 года и 1-го квартала 2016 года на основе ежемесячных водно-энергетических расчетов с учетом гидрологических прогнозов и ожидаемого объема электропотребления;</w:t>
      </w:r>
    </w:p>
    <w:p>
      <w:pPr>
        <w:spacing w:after="120"/>
        <w:jc w:val="both"/>
      </w:pPr>
      <w:r>
        <w:rPr>
          <w:rFonts w:ascii="Arial" w:cs="Arial" w:eastAsia="Arial" w:hAnsi="Arial"/>
          <w:sz w:val="24"/>
          <w:szCs w:val="24"/>
        </w:rPr>
        <w:t xml:space="preserve">- совместно с открытым акционерным обществом "Национальная электрическая сеть Кыргызстана" обеспечить импорт электроэнергии в соответствии с объемами, определенными договорами;</w:t>
      </w:r>
    </w:p>
    <w:p>
      <w:pPr>
        <w:spacing w:after="120"/>
        <w:jc w:val="both"/>
      </w:pPr>
      <w:r>
        <w:rPr>
          <w:rFonts w:ascii="Arial" w:cs="Arial" w:eastAsia="Arial" w:hAnsi="Arial"/>
          <w:sz w:val="24"/>
          <w:szCs w:val="24"/>
        </w:rPr>
        <w:t xml:space="preserve">- предусмотреть в осенне-зимний период 2015/2016 года увеличение активной мощности ТЭЦ города Бишкек до 360 МВт и реактивной мощности - до 420 МВАр;</w:t>
      </w:r>
    </w:p>
    <w:p>
      <w:pPr>
        <w:spacing w:after="120"/>
        <w:jc w:val="both"/>
      </w:pPr>
      <w:r>
        <w:rPr>
          <w:rFonts w:ascii="Arial" w:cs="Arial" w:eastAsia="Arial" w:hAnsi="Arial"/>
          <w:sz w:val="24"/>
          <w:szCs w:val="24"/>
        </w:rPr>
        <w:t xml:space="preserve">- обеспечить ежемесячную оплату за поставленные уголь и топочный мазут согласно заключенным договорам;</w:t>
      </w:r>
    </w:p>
    <w:p>
      <w:pPr>
        <w:spacing w:after="120"/>
        <w:jc w:val="both"/>
      </w:pPr>
      <w:r>
        <w:rPr>
          <w:rFonts w:ascii="Arial" w:cs="Arial" w:eastAsia="Arial" w:hAnsi="Arial"/>
          <w:sz w:val="24"/>
          <w:szCs w:val="24"/>
        </w:rPr>
        <w:t xml:space="preserve">- в срок до 1 августа 2015 года погасить задолженность перед угледобывающими предприятиями Кыргызской Республики за уголь, поставленный в осенне-зимний период 2014/2015 года;</w:t>
      </w:r>
    </w:p>
    <w:p>
      <w:pPr>
        <w:spacing w:after="120"/>
        <w:jc w:val="both"/>
      </w:pPr>
      <w:r>
        <w:rPr>
          <w:rFonts w:ascii="Arial" w:cs="Arial" w:eastAsia="Arial" w:hAnsi="Arial"/>
          <w:sz w:val="24"/>
          <w:szCs w:val="24"/>
        </w:rPr>
        <w:t xml:space="preserve">- рассмотреть возможность обеспечения поставок 50 тыс. тонн угля с Таш-Кумырского месторождения на ТЭЦ города Бишкек в соответствии с законодательством Кыргызской Республики о государственных закупках.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czeza44bca_lsb6mbo8s">
        <w:r>
          <w:rPr>
            <w:rFonts w:ascii="Arial" w:cs="Arial" w:eastAsia="Arial" w:hAnsi="Arial"/>
            <w:i/>
            <w:iCs/>
            <w:color w:val="1D4ED8"/>
            <w:sz w:val="24"/>
            <w:szCs w:val="24"/>
            <w:u w:val="single"/>
          </w:rPr>
          <w:t xml:space="preserve">14 марта 2016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Государственному предприятию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 обеспечить ежемесячную оплату за поставленные уголь и топочный мазут согласно заключенным договорам;</w:t>
      </w:r>
    </w:p>
    <w:p>
      <w:pPr>
        <w:spacing w:after="120"/>
        <w:jc w:val="both"/>
      </w:pPr>
      <w:r>
        <w:rPr>
          <w:rFonts w:ascii="Arial" w:cs="Arial" w:eastAsia="Arial" w:hAnsi="Arial"/>
          <w:sz w:val="24"/>
          <w:szCs w:val="24"/>
        </w:rPr>
        <w:t xml:space="preserve">- в срок до 1 августа 2015 года принять меры по погашению задолженности перед угледобывающими предприятиями Кыргызской Республики за уголь, поставленный в осенне-зимний период 2015/2016 года.</w:t>
      </w:r>
    </w:p>
    <w:p>
      <w:pPr>
        <w:spacing w:after="120"/>
        <w:jc w:val="both"/>
      </w:pPr>
      <w:r>
        <w:rPr>
          <w:rFonts w:ascii="Arial" w:cs="Arial" w:eastAsia="Arial" w:hAnsi="Arial"/>
          <w:sz w:val="24"/>
          <w:szCs w:val="24"/>
        </w:rPr>
        <w:t xml:space="preserve">16. Рекомендовать открытым акционерным обществам "Национальная электрическая сеть Кыргызстана", "Северэлектро", "Востокэлектро", "Ошэлектро", "Жалалабатэлектро", "Бишкектеплосеть" и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отключать в установленном порядке потребителей, имеющих дебиторскую задолженность за электрическую, тепловую энергию и природный газ, и бюджетные организации, допускающие перерасход установленного лимита потребления тепловой и электрической энергии, за исключением объектов здравоохранения, Государственной пограничной службы Кыргызской Республики и учреждений и объектов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не допускать превышения лимитов потребления электрической энергии и мощности согласно приложениям </w:t>
      </w:r>
      <w:hyperlink w:history="1" r:id="rIddhoskxosixeadcu2vocuz">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a-vt8e6rh6rxm4q-hqaiz">
        <w:r>
          <w:rPr>
            <w:rFonts w:ascii="Arial" w:cs="Arial" w:eastAsia="Arial" w:hAnsi="Arial"/>
            <w:color w:val="1D4ED8"/>
            <w:sz w:val="24"/>
            <w:szCs w:val="24"/>
            <w:u w:val="single"/>
          </w:rPr>
          <w:t xml:space="preserve">11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не отключать от электроснабжения технологические объекты муниципального предприятия "Теплоснабжение" мэрии города Ош, государственного предприятия "Кыргызжилкоммунсоюз" при Министерстве энергетики и промышленности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2015/2016 года с соблюдением взаимных гарантийных и иных обязательств.</w:t>
      </w:r>
    </w:p>
    <w:p>
      <w:pPr>
        <w:spacing w:after="120"/>
        <w:jc w:val="both"/>
      </w:pPr>
      <w:r>
        <w:rPr>
          <w:rFonts w:ascii="Arial" w:cs="Arial" w:eastAsia="Arial" w:hAnsi="Arial"/>
          <w:sz w:val="24"/>
          <w:szCs w:val="24"/>
        </w:rPr>
        <w:t xml:space="preserve">17. Рекомендовать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заключить с поставщиками соответствующие контракты на поставку природного газа и обеспечить бесперебойную поставку природного газа для потребителей Кыргызской Республики в осенне-зимний период 2015/2016 года;</w:t>
      </w:r>
    </w:p>
    <w:p>
      <w:pPr>
        <w:spacing w:after="120"/>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 ускорить работу по газификации многоквартирных жилых домов высотой более 10 этажей.</w:t>
      </w:r>
    </w:p>
    <w:p>
      <w:pPr>
        <w:spacing w:after="120"/>
        <w:jc w:val="both"/>
      </w:pPr>
      <w:r>
        <w:rPr>
          <w:rFonts w:ascii="Arial" w:cs="Arial" w:eastAsia="Arial" w:hAnsi="Arial"/>
          <w:sz w:val="24"/>
          <w:szCs w:val="24"/>
        </w:rPr>
        <w:t xml:space="preserve">18. Рекомендовать открытым акционерным обществам "Северэлектро", "Востокэлектро", "Ошэлектро" и "Жалалабатэлектро" совместно с местными государственными администрациями разработать графики местной разгрузки для их применения в случаях перебора лимита потребления электроэнергии и мощности, перегруза основного оборудования, дефицита мощности и электроэнергии и представить их открытому акционерному обществу "Национальная электрическая сеть Кыргызстана".</w:t>
      </w:r>
    </w:p>
    <w:p>
      <w:pPr>
        <w:spacing w:after="120"/>
        <w:jc w:val="both"/>
      </w:pPr>
      <w:r>
        <w:rPr>
          <w:rFonts w:ascii="Arial" w:cs="Arial" w:eastAsia="Arial" w:hAnsi="Arial"/>
          <w:sz w:val="24"/>
          <w:szCs w:val="24"/>
        </w:rPr>
        <w:t xml:space="preserve">19. Министерствам,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максимальное содействие обществу с ограниченной ответственностью "Газпром Кыргызстан" в реализации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20. Государственному агентству архитектуры, строительства и жилищно-коммунального хозяйства при Правительстве Кыргызской Республики в срок до 1 июля 2015 года внести предложения в Министерство энергетики и промышленности Кыргызской Республики по совершенствованию нормативно-технической базы, регламентирующей газовую отрасль республики.</w:t>
      </w:r>
    </w:p>
    <w:p>
      <w:pPr>
        <w:spacing w:after="120"/>
        <w:jc w:val="both"/>
      </w:pPr>
      <w:r>
        <w:rPr>
          <w:rFonts w:ascii="Arial" w:cs="Arial" w:eastAsia="Arial" w:hAnsi="Arial"/>
          <w:sz w:val="24"/>
          <w:szCs w:val="24"/>
        </w:rPr>
        <w:t xml:space="preserve">21. Рекомендовать мэрии города Бишкек обеспечить до 1 апреля 2016 года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на ТЭЦ города Бишкек и оплаты за поставленный кыргызский уголь на ТЭЦ города Бишкек.</w:t>
      </w:r>
    </w:p>
    <w:p>
      <w:pPr>
        <w:spacing w:after="120"/>
        <w:jc w:val="both"/>
      </w:pPr>
      <w:r>
        <w:rPr>
          <w:rFonts w:ascii="Arial" w:cs="Arial" w:eastAsia="Arial" w:hAnsi="Arial"/>
          <w:sz w:val="24"/>
          <w:szCs w:val="24"/>
        </w:rPr>
        <w:t xml:space="preserve">22. Признать утратившими силу:</w:t>
      </w:r>
    </w:p>
    <w:p>
      <w:pPr>
        <w:spacing w:after="120"/>
        <w:jc w:val="both"/>
      </w:pPr>
      <w:r>
        <w:rPr>
          <w:rFonts w:ascii="Arial" w:cs="Arial" w:eastAsia="Arial" w:hAnsi="Arial"/>
          <w:sz w:val="24"/>
          <w:szCs w:val="24"/>
        </w:rPr>
        <w:t xml:space="preserve">- абзац третий пункта 2, пункты 3-16 </w:t>
      </w:r>
      <w:hyperlink w:history="1" r:id="rIdctjsmx6npnhdcvpuay4j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w:t>
      </w:r>
    </w:p>
    <w:p>
      <w:pPr>
        <w:spacing w:after="120"/>
        <w:jc w:val="both"/>
      </w:pPr>
      <w:r>
        <w:rPr>
          <w:rFonts w:ascii="Arial" w:cs="Arial" w:eastAsia="Arial" w:hAnsi="Arial"/>
          <w:sz w:val="24"/>
          <w:szCs w:val="24"/>
        </w:rPr>
        <w:t xml:space="preserve">- </w:t>
      </w:r>
      <w:hyperlink w:history="1" r:id="rIdi1lvl3yniuinwczadqj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2i4yyisn-m3tnlkyhov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4 сентября 2014 года № 525;</w:t>
      </w:r>
    </w:p>
    <w:p>
      <w:pPr>
        <w:spacing w:after="120"/>
        <w:jc w:val="both"/>
      </w:pPr>
      <w:r>
        <w:rPr>
          <w:rFonts w:ascii="Arial" w:cs="Arial" w:eastAsia="Arial" w:hAnsi="Arial"/>
          <w:sz w:val="24"/>
          <w:szCs w:val="24"/>
        </w:rPr>
        <w:t xml:space="preserve">- пункты 1 и 4 </w:t>
      </w:r>
      <w:hyperlink w:history="1" r:id="rIdwf_bfpoltrze-cerxidm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1zwk5rhwdmk9fgqko1j_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14 ноября 2014 года № 649.</w:t>
      </w:r>
    </w:p>
    <w:p>
      <w:pPr>
        <w:spacing w:after="120"/>
        <w:jc w:val="both"/>
      </w:pPr>
      <w:r>
        <w:rPr>
          <w:rFonts w:ascii="Arial" w:cs="Arial" w:eastAsia="Arial" w:hAnsi="Arial"/>
          <w:sz w:val="24"/>
          <w:szCs w:val="24"/>
        </w:rPr>
        <w:t xml:space="preserve">23.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24. Контроль за исполнением настоящего постановления возложить на отдел топливно-энергетического комплекса, промышленности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3931"/>
        <w:gridCol w:w="1755"/>
        <w:gridCol w:w="4138"/>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9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4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проведение совещания руководителей и экспертов водохозяйственных и энергетических отраслей Кыргызской Республики, Республики Казахстан, Республики Таджикистан и Республики Узбекистан по взаимоотношениям в водно-энергетической сфере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Департамент водного хозяйства и мелиорации при МСХМ, по согласованию: ОАО "Электрические станции", ОАО "НЭС Кыргызстана"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2015 года и I квартал 2016 года на основе прогноза и ожидаемого объема электропотребления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2015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превышения установленного лимита потребления электрической и тепловой энергии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ПКР, местные государственные администрации, по согласованию: мэрии городов Бишкек и Ош</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ежесуточное представление ОАО "НЭС Кыргызстана" почасовых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заключенных контрактов, а также выполнение команд Центральной диспетчерской службы ОАО "НЭС Кыргызстана", соблюдение диспетчерской дисциплины по выполнению суточных графиков нагрузок</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установив разрешенную к потреблению мощность по каждому присоединению, подключенному к подстанциям ОАО "НЭС Кыргызстана"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в Министерство энергетики и промышленности Кыргызской Республики Порядок планирования лицензиатами объемов суточного потребления электрической энергии и мощности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установленный срок</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договоры с АО "KEGOC" на передачу электроэнергии с юга на север Кыргызской Республики по маршруту Кыргызстан - Казахстан - Кыргызстан через сети АО "KEGOC" на осенне-зимний период 2015/2016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ремонтов</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Совместно с ОАО "Бишкектеплосеть" согласовать температурный график работы теплосети и обеспечивать его безусловное выполнение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9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заключенных контрактов;</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41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для предотвращения возникновения аварийной ситуации в энергосистеме или для разгрузки перегружаемых линий и трансформаторов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vMerge w:val="continue"/>
            <w:tcBorders>
              <w:top w:val="none" w:color="auto" w:sz="0"/>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базы данных соответствующих служб энергокомпаний определить и утвердить перечень электрических промышленных котельных, электрических котлов бытовых потребителей, работа которых разрешается в отопительный период 2015/2016 года, с указанием разрешенной мощности электрических котлов, режима их работы и лимита потребления электроэнергии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по согласованию: ОАО "Электрические станции", ОАО "НЭС Кыргызстана", ОАО "Северэлектро", ОАО "Востокэлектро", ОАО "Ошэлектро", ОАО "Жалалабатэлектро"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графики работы электрокотлов, используемых для отопления и горячего водоснабжения, кроме электрокотельных, снабжающих теплом многоквартирные жилые дома, с обязательным их отключением в часы максимальных нагрузок энергосистемы, довести до структурных подразделений и обеспечить контроль за их соблюдением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сентября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местные государственные администрации, Госпогранслужба, по согласованию: органы местного самоуправления, ОАО "Северэлектро", ОАО "Востокэлектро", ОАО "Ошэлектро", ОАО "Жалалабатэлектро"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аннулировать технические условия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9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Продолжить работу в регионах по поэтапному переводу источников теплоснабжения, использующих электроэнергию и природный газ для выработки тепловой энергии, на твердое топливо,</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41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Госпогранслужба, ГП "Кыргызжилкоммунсоюз", местные государственные администрации, по согласованию: мэрии городов Бишкек и Ош, КП "Бишкектеплоэнерго"</w:t>
            </w:r>
          </w:p>
        </w:tc>
      </w:tr>
      <w:tr>
        <w:tc>
          <w:tcPr>
            <w:vMerge w:val="continue"/>
            <w:tcBorders>
              <w:top w:val="none" w:color="auto" w:sz="0"/>
              <w:left w:val="single" w:color="CBBF9E" w:sz="4"/>
              <w:bottom w:val="single" w:color="CBBF9E" w:sz="4"/>
              <w:right w:val="single" w:color="CBBF9E" w:sz="4"/>
            </w:tcBorders>
          </w:tcP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и график поэтапного перевода вышеуказанных источников теплоснабжения с указанием размера денежных средств с представлением информации в Минэнергопром и Минфин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2015 года</w:t>
            </w:r>
          </w:p>
        </w:tc>
        <w:tc>
          <w:tcPr>
            <w:vMerge w:val="continue"/>
            <w:tcBorders>
              <w:top w:val="none" w:color="auto" w:sz="0"/>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промышленные, отопительные и ведомственные котельные к работе в осенне-зимний период 2015/2016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Госпогранслужба, ГП "Кыргызжилкоммунсоюз", местные государственные администрации, по согласованию: мэрии городов Бишкек и Ош, КП "Бишкектеплоэнерго"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2-11 к настоящему постановлению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ПКР, по согласованию: предприятия ТЭК, ОАО "Северэлектро", ОАО "Ошэлектро", ОАО "Востокэлектро", ОАО "Жалалабатэлектро", мэрии городов Бишкек и Ош</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тепловую энергию и природный газ</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местные государственные администрации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2014/2015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2015 года по 1 марта 2016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координацию и контроль за поставками кыргызских углей на топливные базы и пункты по реализации твердого топлива населению и бюджетным организациям.</w:t>
            </w:r>
          </w:p>
          <w:p>
            <w:pPr>
              <w:jc w:val="left"/>
            </w:pPr>
            <w:r>
              <w:rPr>
                <w:rFonts w:ascii="Arial" w:cs="Arial" w:eastAsia="Arial" w:hAnsi="Arial"/>
                <w:sz w:val="24"/>
                <w:szCs w:val="24"/>
              </w:rPr>
              <w:t xml:space="preserve">Представлять соответствующую информацию в Минэнергопром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начиная с 1 августа 2015 года - еженедельно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ПКР, ГП "Кыргызкомур", по согласованию: мэрии городов Бишкек и Ош и угледобывающие предприятия</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 Кыргызстана", ОАО "Северэлектро", ОАО "Ошэлектро", ОАО "Востокэлектро", ОАО "Жалалабатэлектро"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бюджетных потребителей, финансируемых из республиканского бюджета, для осуществления ОсОО "Газпром Кыргызстан" предварительной оплаты за природный газ согласно условиям контракта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10 числа месяца, следующего за отчетным периодом</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аппараты полномочных представителей ПКР, министерства и административные ведомства, по согласованию: мэрии городов Бишкек и Ош, предприятия ТЭК</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разбронировании из государственного материального резерва угля, находящегося на хранении на складе ТЭЦ города Бишкек, передавать разбронированный уголь ОАО "Электрические станции" в порядке заимствования, согласно статье 18 Закона Кыргызской Республики "О государственном материальном резерве"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необходимости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аппараты полномочных представителей ПКР, по согласованию: мэрии городов Бишкек и Ош, предприятия ТЭК</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Джалал-Абадской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655"/>
        <w:gridCol w:w="647"/>
        <w:gridCol w:w="622"/>
        <w:gridCol w:w="622"/>
        <w:gridCol w:w="622"/>
        <w:gridCol w:w="622"/>
        <w:gridCol w:w="622"/>
        <w:gridCol w:w="622"/>
        <w:gridCol w:w="622"/>
        <w:gridCol w:w="622"/>
        <w:gridCol w:w="622"/>
        <w:gridCol w:w="622"/>
        <w:gridCol w:w="622"/>
        <w:gridCol w:w="622"/>
      </w:tblGrid>
      <w:tr>
        <w:tc>
          <w:tcPr>
            <w:tcW w:type="dxa" w:w="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235,913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316,569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182,735</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1717,432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268,651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149,453</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254,302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19,772</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5,256</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0,0283</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Ошской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1092,435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122,152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1016,584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115,616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городу Ош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1667"/>
        <w:gridCol w:w="597"/>
        <w:gridCol w:w="614"/>
        <w:gridCol w:w="614"/>
        <w:gridCol w:w="614"/>
        <w:gridCol w:w="614"/>
        <w:gridCol w:w="614"/>
        <w:gridCol w:w="614"/>
        <w:gridCol w:w="614"/>
        <w:gridCol w:w="614"/>
        <w:gridCol w:w="614"/>
        <w:gridCol w:w="641"/>
        <w:gridCol w:w="641"/>
        <w:gridCol w:w="641"/>
      </w:tblGrid>
      <w:tr>
        <w:tc>
          <w:tcPr>
            <w:tcW w:type="dxa" w:w="4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2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904,215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64,521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42,695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41,449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59,262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97,146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117,488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133,113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113,896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102,486</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818,227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59,421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38,217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53,706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86,796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105,244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121,740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103,588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93,058</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2,369</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4,932</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ll</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Баткенской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838,568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57,989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47,997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51,657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98,838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113,068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80,411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644,662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73,318</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4,465</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65,678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0,303</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0,0171</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0,3364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0,0275</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Чуйской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3378,590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297,154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186,484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175,734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178,866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177,656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179,293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304,105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338,098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411,897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376,044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333,847</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2437,320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126,278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116,810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117,250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120,315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240,595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304,545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322,534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284,855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245,080</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529,840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44,336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43,365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43,266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41,568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41,902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41,057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49,973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38,206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44,133</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410,096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45,823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57,258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57,863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44,544</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r>
              <w:rPr>
                <w:rFonts w:ascii="Arial" w:cs="Arial" w:eastAsia="Arial" w:hAnsi="Arial"/>
                <w:sz w:val="24"/>
                <w:szCs w:val="24"/>
              </w:rPr>
              <w:t xml:space="preserve">8</w:t>
            </w:r>
            <w:r>
              <w:rPr>
                <w:rFonts w:ascii="Arial" w:cs="Arial" w:eastAsia="Arial" w:hAnsi="Arial"/>
                <w:sz w:val="24"/>
                <w:szCs w:val="24"/>
              </w:rPr>
              <w:t xml:space="preserve">,970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,5</w:t>
            </w:r>
            <w:r>
              <w:rPr>
                <w:rFonts w:ascii="Arial" w:cs="Arial" w:eastAsia="Arial" w:hAnsi="Arial"/>
                <w:sz w:val="24"/>
                <w:szCs w:val="24"/>
              </w:rPr>
              <w:t xml:space="preserve">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0,3650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0,0365</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0,263</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0,2783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0,3158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0,2041</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47,518</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1,989</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0,0088</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городу Бишкек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3313,616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180,735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82,491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272,773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405,450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434,847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312,587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2596,868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237,402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371,635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Нарынской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705,220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83,129</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3,854</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0,0110</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Иссык-Кульской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6"/>
        <w:gridCol w:w="656"/>
        <w:gridCol w:w="604"/>
        <w:gridCol w:w="604"/>
        <w:gridCol w:w="604"/>
        <w:gridCol w:w="604"/>
        <w:gridCol w:w="604"/>
        <w:gridCol w:w="604"/>
        <w:gridCol w:w="604"/>
        <w:gridCol w:w="604"/>
        <w:gridCol w:w="604"/>
        <w:gridCol w:w="630"/>
        <w:gridCol w:w="630"/>
        <w:gridCol w:w="630"/>
      </w:tblGrid>
      <w:tr>
        <w:tc>
          <w:tcPr>
            <w:tcW w:type="dxa" w:w="5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3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1495,952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78,431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95,204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199,964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177,573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167,142</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3,751</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14,573</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0,0149</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Кыргызской Республике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1596"/>
        <w:gridCol w:w="690"/>
        <w:gridCol w:w="609"/>
        <w:gridCol w:w="609"/>
        <w:gridCol w:w="609"/>
        <w:gridCol w:w="609"/>
        <w:gridCol w:w="609"/>
        <w:gridCol w:w="609"/>
        <w:gridCol w:w="609"/>
        <w:gridCol w:w="609"/>
        <w:gridCol w:w="609"/>
        <w:gridCol w:w="638"/>
        <w:gridCol w:w="638"/>
        <w:gridCol w:w="638"/>
      </w:tblGrid>
      <w:tr>
        <w:tc>
          <w:tcPr>
            <w:tcW w:type="dxa" w:w="5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8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14316,719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738,393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779,189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765,476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1083,513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1479,744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1829,589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1918,726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1678,049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1434,194</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11349,784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880,871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568,288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543,546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837,639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1187,366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1489,519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1584,921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1382,808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1160,645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1309,696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104,982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118,628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129,952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105,787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103,581</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1008,829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54,763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138,529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145,806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128,582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101,340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17,028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45,292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43,506</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республике с учетом транзитных потерь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транзитные 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котельных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1037,379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98,154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9,096</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0,4844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0,4844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0,1615</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0,4292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0,4479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0,4236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0,2574</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ЗАДАНИЕ
 Министерству энергетики и промышленности Кыргызской Республики, ГП "Кыргызкомур", ОсОО "Газпром Кыргызстан", ОАО "Кыргызнефтегаз", ОАО "Электрические станции" на поставку угля, природного газа и мазута на тепловые электростанции ОАО "Электрические станции" для подготовки к осенне-зимнему сезону 2015/2016 года</w:t>
      </w:r>
    </w:p>
    <w:p>
      <w:pPr>
        <w:spacing w:after="60"/>
        <w:ind w:firstLine="567"/>
        <w:jc w:val="right"/>
      </w:pPr>
      <w:r>
        <w:rPr>
          <w:rFonts w:ascii="Arial" w:cs="Arial" w:eastAsia="Arial" w:hAnsi="Arial"/>
          <w:sz w:val="24"/>
          <w:szCs w:val="24"/>
        </w:rPr>
        <w:t xml:space="preserve">(уголь, мазут - тыс.т, газ - млн. 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609"/>
        <w:gridCol w:w="747"/>
        <w:gridCol w:w="434"/>
        <w:gridCol w:w="434"/>
        <w:gridCol w:w="434"/>
        <w:gridCol w:w="434"/>
        <w:gridCol w:w="434"/>
        <w:gridCol w:w="434"/>
        <w:gridCol w:w="434"/>
        <w:gridCol w:w="434"/>
        <w:gridCol w:w="434"/>
        <w:gridCol w:w="434"/>
        <w:gridCol w:w="434"/>
        <w:gridCol w:w="434"/>
        <w:gridCol w:w="434"/>
        <w:gridCol w:w="434"/>
        <w:gridCol w:w="434"/>
        <w:gridCol w:w="434"/>
        <w:gridCol w:w="955"/>
      </w:tblGrid>
      <w:tr>
        <w:tc>
          <w:tcPr>
            <w:tcW w:type="dxa" w:w="9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01.04.2015 г.</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 I-IV кв. 2015 г. и в </w:t>
            </w:r>
            <w:r>
              <w:rPr>
                <w:rFonts w:ascii="Arial" w:cs="Arial" w:eastAsia="Arial" w:hAnsi="Arial"/>
                <w:b/>
                <w:bCs/>
                <w:sz w:val="24"/>
                <w:szCs w:val="24"/>
              </w:rPr>
              <w:t xml:space="preserve">I</w:t>
            </w:r>
            <w:r>
              <w:rPr>
                <w:rFonts w:ascii="Arial" w:cs="Arial" w:eastAsia="Arial" w:hAnsi="Arial"/>
                <w:b/>
                <w:bCs/>
                <w:sz w:val="24"/>
                <w:szCs w:val="24"/>
              </w:rPr>
              <w:t xml:space="preserve"> кв. 2016 г.</w:t>
            </w:r>
          </w:p>
        </w:tc>
        <w:tc>
          <w:tcPr>
            <w:tcW w:type="dxa" w:w="6944"/>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08"/>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7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каменный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 угледобывающие предприятия</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М-100, ТКМ-16)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каменный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 угледобывающие предприятия</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М-100, ТКМ-16)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"КНГ"</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МЭП - Министерство энергетики и промышленности Кыргызской Республики, ОАО "ЭС" - открытое акционерное общество "Электрические станции", ОсОО "ГК" - общество с ограниченной ответственностью "Газпром Кыргызстан", ОАО "КНГ" - открытое акционерное общество "Кыргызнефтегаз", ГП "Кыргызкомур" - государственное предприятие "Кыргызкомур" при Министерстве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60"/>
        <w:ind w:firstLine="567"/>
        <w:jc w:val="right"/>
      </w:pPr>
      <w:r>
        <w:rPr>
          <w:rFonts w:ascii="Arial" w:cs="Arial" w:eastAsia="Arial" w:hAnsi="Arial"/>
          <w:sz w:val="20"/>
          <w:szCs w:val="20"/>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в осенне-зимний период 2015/2016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fl6oylawbzrr8t3d_ttr">
        <w:r>
          <w:rPr>
            <w:rFonts w:ascii="Arial" w:cs="Arial" w:eastAsia="Arial" w:hAnsi="Arial"/>
            <w:i/>
            <w:iCs/>
            <w:color w:val="1D4ED8"/>
            <w:sz w:val="24"/>
            <w:szCs w:val="24"/>
            <w:u w:val="single"/>
          </w:rPr>
          <w:t xml:space="preserve">12 октября 2015 года № 704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(мазут - тыс.т, газ - млн. 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2015 г. и </w:t>
            </w:r>
            <w:r>
              <w:rPr>
                <w:rFonts w:ascii="Arial" w:cs="Arial" w:eastAsia="Arial" w:hAnsi="Arial"/>
                <w:b/>
                <w:bCs/>
                <w:sz w:val="24"/>
                <w:szCs w:val="24"/>
              </w:rPr>
              <w:t xml:space="preserve">I </w:t>
            </w:r>
            <w:r>
              <w:rPr>
                <w:rFonts w:ascii="Arial" w:cs="Arial" w:eastAsia="Arial" w:hAnsi="Arial"/>
                <w:b/>
                <w:bCs/>
                <w:sz w:val="24"/>
                <w:szCs w:val="24"/>
              </w:rPr>
              <w:t xml:space="preserve">кв. 2016 г.</w:t>
            </w:r>
          </w:p>
          <w:p>
            <w:pPr>
              <w:jc w:val="center"/>
            </w:pPr>
            <w:r>
              <w:rPr>
                <w:rFonts w:ascii="Arial" w:cs="Arial" w:eastAsia="Arial" w:hAnsi="Arial"/>
                <w:b/>
                <w:bCs/>
                <w:sz w:val="24"/>
                <w:szCs w:val="24"/>
              </w:rPr>
              <w:t xml:space="preserve">Всего</w:t>
            </w:r>
          </w:p>
        </w:tc>
        <w:tc>
          <w:tcPr>
            <w:tcW w:type="dxa" w:w="872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43"/>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18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p>
            <w:pPr>
              <w:jc w:val="left"/>
            </w:pPr>
            <w:r>
              <w:rPr>
                <w:rFonts w:ascii="Arial" w:cs="Arial" w:eastAsia="Arial" w:hAnsi="Arial"/>
                <w:sz w:val="24"/>
                <w:szCs w:val="24"/>
              </w:rPr>
              <w:t xml:space="preserve">в том числе:</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 всего:</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от ОАО "Кыргызнефтегаз"</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мазут импортный</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Ошского МП "Теплоснабжение"</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частей Государственной пограничной службы</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"Кыргызжилкоммунсоюз", всего:</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ОАО "Кыргызнефтегаз";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мазут импортный</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5"/>
        <w:gridCol w:w="671"/>
        <w:gridCol w:w="671"/>
        <w:gridCol w:w="671"/>
        <w:gridCol w:w="671"/>
        <w:gridCol w:w="671"/>
        <w:gridCol w:w="671"/>
        <w:gridCol w:w="804"/>
        <w:gridCol w:w="755"/>
      </w:tblGrid>
      <w:tr>
        <w:tc>
          <w:tcPr>
            <w:tcW w:type="dxa" w:w="45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Всего:</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I кв.</w:t>
            </w:r>
          </w:p>
        </w:tc>
      </w:tr>
      <w:tr>
        <w:tc>
          <w:tcPr>
            <w:vMerge w:val="continue"/>
            <w:tcBorders>
              <w:top w:val="single" w:color="CBBF9E" w:sz="4"/>
              <w:left w:val="single" w:color="CBBF9E" w:sz="4"/>
              <w:bottom w:val="single" w:color="CBBF9E" w:sz="4"/>
              <w:right w:val="single" w:color="CBBF9E" w:sz="4"/>
            </w:tcBorders>
          </w:tcP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среднемноголетней приточности воды (млрд.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842,50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860,45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860,45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872,30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872,30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863,05</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847,07</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6586,6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8948,7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3986,4</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12935,1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4651,1</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7591,6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3347,8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10939,3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3873,5</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777,6</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4505,5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9691,1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13961,8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4906,8</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импорт электроэнергии</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769,12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134,1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1584,1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400,36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400,44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377,5</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3892,0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5870,2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7511,2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10966,9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4063,3</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5975,5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7660,4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3514,5</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11174,9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4128,4</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3021,2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3861,5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1896,4</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663,6</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964,8</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603,5</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ЗАДАНИЕ
 ОАО "Электрические станции" на выработку электроэнергии и мощности на ТЭЦ города Бишкек на 2015 год и I квартал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2"/>
        <w:gridCol w:w="368"/>
        <w:gridCol w:w="489"/>
        <w:gridCol w:w="489"/>
        <w:gridCol w:w="489"/>
        <w:gridCol w:w="489"/>
        <w:gridCol w:w="489"/>
        <w:gridCol w:w="489"/>
        <w:gridCol w:w="489"/>
        <w:gridCol w:w="489"/>
        <w:gridCol w:w="489"/>
        <w:gridCol w:w="489"/>
        <w:gridCol w:w="489"/>
        <w:gridCol w:w="489"/>
        <w:gridCol w:w="489"/>
        <w:gridCol w:w="489"/>
        <w:gridCol w:w="492"/>
        <w:gridCol w:w="492"/>
        <w:gridCol w:w="492"/>
        <w:gridCol w:w="492"/>
      </w:tblGrid>
      <w:tr>
        <w:tc>
          <w:tcPr>
            <w:tcW w:type="dxa" w:w="10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46"/>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1995,85</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w:t>
            </w:r>
          </w:p>
        </w:tc>
      </w:tr>
      <w:tr>
        <w:tc>
          <w:tcPr>
            <w:tcW w:type="dxa" w:w="1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на выработку электроэнергии и мощности на ТЭЦ города Ош на 2014 год и I квартал 2015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5"/>
        <w:gridCol w:w="399"/>
        <w:gridCol w:w="477"/>
        <w:gridCol w:w="477"/>
        <w:gridCol w:w="477"/>
        <w:gridCol w:w="477"/>
        <w:gridCol w:w="477"/>
        <w:gridCol w:w="477"/>
        <w:gridCol w:w="477"/>
        <w:gridCol w:w="477"/>
        <w:gridCol w:w="477"/>
        <w:gridCol w:w="477"/>
        <w:gridCol w:w="477"/>
        <w:gridCol w:w="477"/>
        <w:gridCol w:w="477"/>
        <w:gridCol w:w="477"/>
        <w:gridCol w:w="502"/>
        <w:gridCol w:w="502"/>
        <w:gridCol w:w="502"/>
        <w:gridCol w:w="502"/>
      </w:tblGrid>
      <w:tr>
        <w:tc>
          <w:tcPr>
            <w:tcW w:type="dxa" w:w="10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67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2488"/>
        <w:gridCol w:w="859"/>
        <w:gridCol w:w="844"/>
        <w:gridCol w:w="844"/>
        <w:gridCol w:w="844"/>
        <w:gridCol w:w="844"/>
        <w:gridCol w:w="844"/>
        <w:gridCol w:w="2068"/>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2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22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w:t>
            </w:r>
          </w:p>
        </w:tc>
        <w:tc>
          <w:tcPr>
            <w:vMerge w:val="continue"/>
            <w:tcBorders>
              <w:top w:val="single" w:color="CBBF9E" w:sz="4"/>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w:t>
            </w:r>
          </w:p>
          <w:p>
            <w:pPr>
              <w:jc w:val="left"/>
            </w:pPr>
            <w:r>
              <w:rPr>
                <w:rFonts w:ascii="Arial" w:cs="Arial" w:eastAsia="Arial" w:hAnsi="Arial"/>
                <w:sz w:val="24"/>
                <w:szCs w:val="24"/>
              </w:rPr>
              <w:t xml:space="preserve">пара/ч</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6/1195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610,29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338,66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869,39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38,57</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1053,38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38,231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33,388</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4147,7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ОАО "Ошэлектро" по строительству и реконструкции ВЛ 0,4-10 кВ, ТП 10/0,4 кВ в 2015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j4-ojemyvfqw_l2f_bvo">
        <w:r>
          <w:rPr>
            <w:rFonts w:ascii="Arial" w:cs="Arial" w:eastAsia="Arial" w:hAnsi="Arial"/>
            <w:i/>
            <w:iCs/>
            <w:color w:val="1D4ED8"/>
            <w:sz w:val="24"/>
            <w:szCs w:val="24"/>
            <w:u w:val="single"/>
          </w:rPr>
          <w:t xml:space="preserve">12 октября 2015 года № 704)</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3603"/>
        <w:gridCol w:w="757"/>
        <w:gridCol w:w="661"/>
        <w:gridCol w:w="661"/>
        <w:gridCol w:w="661"/>
        <w:gridCol w:w="661"/>
        <w:gridCol w:w="661"/>
        <w:gridCol w:w="2021"/>
      </w:tblGrid>
      <w:tr>
        <w:tc>
          <w:tcPr>
            <w:tcW w:type="dxa" w:w="4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6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3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608,21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197,51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62"/>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40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на ВЛ-35 кВ "Пахтачи - Тоо-Моюн"</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ПС "Ош 2" (замена КРУН-10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ЗРУ-6 кВ на ПС "Ош 4"</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ПСН-35 кВ на ПС "Терек-Суу"</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62"/>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ПС"Ош 2" (замена КРУН-10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ЗРУ-6 кВ на ПС "Ош 4"</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на ВЛ-35 кВ "Пахтачи - Тоо-Моюн"</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ПСН-35 кВ на ПС "Терек-Суу"</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ВЛ-35 кВ "Шекафтар-Ажек"</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административного корпуса Аксыйского РЭС</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GSM счетчиков на ПС-35/6-10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АСКУЭ</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в осенне-зимний период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447"/>
        <w:gridCol w:w="842"/>
        <w:gridCol w:w="842"/>
        <w:gridCol w:w="842"/>
        <w:gridCol w:w="842"/>
        <w:gridCol w:w="842"/>
        <w:gridCol w:w="842"/>
        <w:gridCol w:w="842"/>
        <w:gridCol w:w="842"/>
        <w:gridCol w:w="842"/>
      </w:tblGrid>
      <w:tr>
        <w:tc>
          <w:tcPr>
            <w:tcW w:type="dxa" w:w="11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w:t>
            </w:r>
            <w:r>
              <w:rPr>
                <w:rFonts w:ascii="Arial" w:cs="Arial" w:eastAsia="Arial" w:hAnsi="Arial"/>
                <w:b/>
                <w:bCs/>
                <w:sz w:val="24"/>
                <w:szCs w:val="24"/>
              </w:rPr>
              <w:t xml:space="preserve">I-IV кв. 2015 г. и </w:t>
            </w:r>
            <w:r>
              <w:rPr>
                <w:rFonts w:ascii="Arial" w:cs="Arial" w:eastAsia="Arial" w:hAnsi="Arial"/>
                <w:b/>
                <w:bCs/>
                <w:sz w:val="24"/>
                <w:szCs w:val="24"/>
              </w:rPr>
              <w:t xml:space="preserve">I</w:t>
            </w:r>
            <w:r>
              <w:rPr>
                <w:rFonts w:ascii="Arial" w:cs="Arial" w:eastAsia="Arial" w:hAnsi="Arial"/>
                <w:b/>
                <w:bCs/>
                <w:sz w:val="24"/>
                <w:szCs w:val="24"/>
              </w:rPr>
              <w:t xml:space="preserve"> кв. 2016 г.</w:t>
            </w:r>
          </w:p>
        </w:tc>
        <w:tc>
          <w:tcPr>
            <w:tcW w:type="dxa" w:w="757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 2015 года</w:t>
            </w:r>
          </w:p>
        </w:tc>
        <w:tc>
          <w:tcPr>
            <w:tcW w:type="dxa" w:w="8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 2015 года</w:t>
            </w:r>
          </w:p>
        </w:tc>
        <w:tc>
          <w:tcPr>
            <w:tcW w:type="dxa" w:w="8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52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 2015 года</w:t>
            </w:r>
          </w:p>
        </w:tc>
        <w:tc>
          <w:tcPr>
            <w:tcW w:type="dxa" w:w="252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квартал 2016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 дан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 том числе: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"Кыргызжилкоммунсоюз" в осенне-зимний период 2015/2016 года, в том числе для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6"/>
        <w:gridCol w:w="1250"/>
        <w:gridCol w:w="855"/>
        <w:gridCol w:w="855"/>
        <w:gridCol w:w="855"/>
        <w:gridCol w:w="855"/>
        <w:gridCol w:w="855"/>
        <w:gridCol w:w="855"/>
        <w:gridCol w:w="855"/>
        <w:gridCol w:w="855"/>
        <w:gridCol w:w="855"/>
        <w:gridCol w:w="1"/>
      </w:tblGrid>
      <w:tr>
        <w:tc>
          <w:tcPr>
            <w:tcW w:type="dxa" w:w="12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0"/>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План поставки во II-IV кв. 2015 года и I кв. 2016 года</w:t>
            </w:r>
          </w:p>
        </w:tc>
        <w:tc>
          <w:tcPr>
            <w:tcW w:type="dxa" w:w="769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2015 года</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2015 года</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5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2015 года</w:t>
            </w:r>
          </w:p>
        </w:tc>
        <w:tc>
          <w:tcPr>
            <w:tcW w:type="dxa" w:w="25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2016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33,2</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 севере,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для населения, всего:</w:t>
            </w:r>
          </w:p>
          <w:p>
            <w:pPr>
              <w:jc w:val="left"/>
            </w:pPr>
            <w:r>
              <w:rPr>
                <w:rFonts w:ascii="Arial" w:cs="Arial" w:eastAsia="Arial" w:hAnsi="Arial"/>
                <w:sz w:val="24"/>
                <w:szCs w:val="24"/>
              </w:rPr>
              <w:t xml:space="preserve">в том числе: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 севере,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по подготовке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222"/>
        <w:gridCol w:w="731"/>
        <w:gridCol w:w="1486"/>
        <w:gridCol w:w="596"/>
        <w:gridCol w:w="596"/>
        <w:gridCol w:w="596"/>
        <w:gridCol w:w="596"/>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52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вида работ</w:t>
            </w:r>
          </w:p>
        </w:tc>
        <w:tc>
          <w:tcPr>
            <w:tcW w:type="dxa" w:w="7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r>
              <w:rPr>
                <w:rFonts w:ascii="Arial" w:cs="Arial" w:eastAsia="Arial" w:hAnsi="Arial"/>
                <w:b/>
                <w:bCs/>
                <w:sz w:val="24"/>
                <w:szCs w:val="24"/>
              </w:rPr>
              <w:t xml:space="preserve">.</w:t>
            </w:r>
          </w:p>
        </w:tc>
        <w:tc>
          <w:tcPr>
            <w:tcW w:type="dxa" w:w="14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23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p>
            <w:pPr>
              <w:jc w:val="center"/>
            </w:pPr>
            <w:r>
              <w:rPr>
                <w:rFonts w:ascii="Arial" w:cs="Arial" w:eastAsia="Arial" w:hAnsi="Arial"/>
                <w:sz w:val="24"/>
                <w:szCs w:val="24"/>
              </w:rPr>
              <w:t xml:space="preserve">37291,0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2050,0</w:t>
            </w:r>
          </w:p>
          <w:p>
            <w:pPr>
              <w:jc w:val="center"/>
            </w:pPr>
            <w:r>
              <w:rPr>
                <w:rFonts w:ascii="Arial" w:cs="Arial" w:eastAsia="Arial" w:hAnsi="Arial"/>
                <w:sz w:val="24"/>
                <w:szCs w:val="24"/>
              </w:rPr>
              <w:t xml:space="preserve">18645,5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2050,0</w:t>
            </w:r>
          </w:p>
          <w:p>
            <w:pPr>
              <w:jc w:val="center"/>
            </w:pPr>
            <w:r>
              <w:rPr>
                <w:rFonts w:ascii="Arial" w:cs="Arial" w:eastAsia="Arial" w:hAnsi="Arial"/>
                <w:sz w:val="24"/>
                <w:szCs w:val="24"/>
              </w:rPr>
              <w:t xml:space="preserve">18645,5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p>
            <w:pPr>
              <w:jc w:val="center"/>
            </w:pPr>
            <w:r>
              <w:rPr>
                <w:rFonts w:ascii="Arial" w:cs="Arial" w:eastAsia="Arial" w:hAnsi="Arial"/>
                <w:sz w:val="24"/>
                <w:szCs w:val="24"/>
              </w:rPr>
              <w:t xml:space="preserve">784,0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p>
            <w:pPr>
              <w:jc w:val="center"/>
            </w:pPr>
            <w:r>
              <w:rPr>
                <w:rFonts w:ascii="Arial" w:cs="Arial" w:eastAsia="Arial" w:hAnsi="Arial"/>
                <w:sz w:val="24"/>
                <w:szCs w:val="24"/>
              </w:rPr>
              <w:t xml:space="preserve">323,4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p>
            <w:pPr>
              <w:jc w:val="center"/>
            </w:pPr>
            <w:r>
              <w:rPr>
                <w:rFonts w:ascii="Arial" w:cs="Arial" w:eastAsia="Arial" w:hAnsi="Arial"/>
                <w:sz w:val="24"/>
                <w:szCs w:val="24"/>
              </w:rPr>
              <w:t xml:space="preserve">323,4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137,2</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w:t>
            </w:r>
          </w:p>
          <w:p>
            <w:pPr>
              <w:jc w:val="center"/>
            </w:pPr>
            <w:r>
              <w:rPr>
                <w:rFonts w:ascii="Arial" w:cs="Arial" w:eastAsia="Arial" w:hAnsi="Arial"/>
                <w:sz w:val="24"/>
                <w:szCs w:val="24"/>
              </w:rPr>
              <w:t xml:space="preserve">455,9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p>
            <w:pPr>
              <w:jc w:val="center"/>
            </w:pPr>
            <w:r>
              <w:rPr>
                <w:rFonts w:ascii="Arial" w:cs="Arial" w:eastAsia="Arial" w:hAnsi="Arial"/>
                <w:sz w:val="24"/>
                <w:szCs w:val="24"/>
              </w:rPr>
              <w:t xml:space="preserve">101,5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p>
            <w:pPr>
              <w:jc w:val="center"/>
            </w:pPr>
            <w:r>
              <w:rPr>
                <w:rFonts w:ascii="Arial" w:cs="Arial" w:eastAsia="Arial" w:hAnsi="Arial"/>
                <w:sz w:val="24"/>
                <w:szCs w:val="24"/>
              </w:rPr>
              <w:t xml:space="preserve">118,7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w:t>
            </w:r>
          </w:p>
          <w:p>
            <w:pPr>
              <w:jc w:val="center"/>
            </w:pPr>
            <w:r>
              <w:rPr>
                <w:rFonts w:ascii="Arial" w:cs="Arial" w:eastAsia="Arial" w:hAnsi="Arial"/>
                <w:sz w:val="24"/>
                <w:szCs w:val="24"/>
              </w:rPr>
              <w:t xml:space="preserve">134,1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p>
            <w:pPr>
              <w:jc w:val="center"/>
            </w:pPr>
            <w:r>
              <w:rPr>
                <w:rFonts w:ascii="Arial" w:cs="Arial" w:eastAsia="Arial" w:hAnsi="Arial"/>
                <w:sz w:val="24"/>
                <w:szCs w:val="24"/>
              </w:rPr>
              <w:t xml:space="preserve">101,5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p>
            <w:pPr>
              <w:jc w:val="center"/>
            </w:pPr>
            <w:r>
              <w:rPr>
                <w:rFonts w:ascii="Arial" w:cs="Arial" w:eastAsia="Arial" w:hAnsi="Arial"/>
                <w:sz w:val="24"/>
                <w:szCs w:val="24"/>
              </w:rPr>
              <w:t xml:space="preserve">2866,7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1433,35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1433,35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p>
            <w:pPr>
              <w:jc w:val="center"/>
            </w:pPr>
            <w:r>
              <w:rPr>
                <w:rFonts w:ascii="Arial" w:cs="Arial" w:eastAsia="Arial" w:hAnsi="Arial"/>
                <w:sz w:val="24"/>
                <w:szCs w:val="24"/>
              </w:rPr>
              <w:t xml:space="preserve">4900,0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p>
            <w:pPr>
              <w:jc w:val="center"/>
            </w:pPr>
            <w:r>
              <w:rPr>
                <w:rFonts w:ascii="Arial" w:cs="Arial" w:eastAsia="Arial" w:hAnsi="Arial"/>
                <w:sz w:val="24"/>
                <w:szCs w:val="24"/>
              </w:rPr>
              <w:t xml:space="preserve">2450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p>
            <w:pPr>
              <w:jc w:val="center"/>
            </w:pPr>
            <w:r>
              <w:rPr>
                <w:rFonts w:ascii="Arial" w:cs="Arial" w:eastAsia="Arial" w:hAnsi="Arial"/>
                <w:sz w:val="24"/>
                <w:szCs w:val="24"/>
              </w:rPr>
              <w:t xml:space="preserve">2450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объектов газификации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1045,9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522,95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522,95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490,0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p>
            <w:pPr>
              <w:jc w:val="center"/>
            </w:pPr>
            <w:r>
              <w:rPr>
                <w:rFonts w:ascii="Arial" w:cs="Arial" w:eastAsia="Arial" w:hAnsi="Arial"/>
                <w:sz w:val="24"/>
                <w:szCs w:val="24"/>
              </w:rPr>
              <w:t xml:space="preserve">107,8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p>
            <w:pPr>
              <w:jc w:val="center"/>
            </w:pPr>
            <w:r>
              <w:rPr>
                <w:rFonts w:ascii="Arial" w:cs="Arial" w:eastAsia="Arial" w:hAnsi="Arial"/>
                <w:sz w:val="24"/>
                <w:szCs w:val="24"/>
              </w:rPr>
              <w:t xml:space="preserve">141,1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p>
            <w:pPr>
              <w:jc w:val="center"/>
            </w:pPr>
            <w:r>
              <w:rPr>
                <w:rFonts w:ascii="Arial" w:cs="Arial" w:eastAsia="Arial" w:hAnsi="Arial"/>
                <w:sz w:val="24"/>
                <w:szCs w:val="24"/>
              </w:rPr>
              <w:t xml:space="preserve">143,0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98,0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137,2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58,8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58,8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19,6</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Югтрансгаз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p>
            <w:pPr>
              <w:jc w:val="center"/>
            </w:pPr>
            <w:r>
              <w:rPr>
                <w:rFonts w:ascii="Arial" w:cs="Arial" w:eastAsia="Arial" w:hAnsi="Arial"/>
                <w:sz w:val="24"/>
                <w:szCs w:val="24"/>
              </w:rPr>
              <w:t xml:space="preserve">7950,0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p>
            <w:pPr>
              <w:jc w:val="center"/>
            </w:pPr>
            <w:r>
              <w:rPr>
                <w:rFonts w:ascii="Arial" w:cs="Arial" w:eastAsia="Arial" w:hAnsi="Arial"/>
                <w:sz w:val="24"/>
                <w:szCs w:val="24"/>
              </w:rPr>
              <w:t xml:space="preserve">7950,0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 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участка магистрального газопровода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 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ОсОО "Газпром Кыргызстан",</w:t>
            </w:r>
          </w:p>
          <w:p>
            <w:pPr>
              <w:jc w:val="left"/>
            </w:pPr>
            <w:r>
              <w:rPr>
                <w:rFonts w:ascii="Arial" w:cs="Arial" w:eastAsia="Arial" w:hAnsi="Arial"/>
                <w:sz w:val="24"/>
                <w:szCs w:val="24"/>
              </w:rPr>
              <w:t xml:space="preserve">в том числе:</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120280,7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39996,4</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15950</w:t>
            </w:r>
          </w:p>
          <w:p>
            <w:pPr>
              <w:jc w:val="center"/>
            </w:pPr>
            <w:r>
              <w:rPr>
                <w:rFonts w:ascii="Arial" w:cs="Arial" w:eastAsia="Arial" w:hAnsi="Arial"/>
                <w:sz w:val="24"/>
                <w:szCs w:val="24"/>
              </w:rPr>
              <w:t xml:space="preserve">116453,6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4425</w:t>
            </w:r>
          </w:p>
          <w:p>
            <w:pPr>
              <w:jc w:val="center"/>
            </w:pPr>
            <w:r>
              <w:rPr>
                <w:rFonts w:ascii="Arial" w:cs="Arial" w:eastAsia="Arial" w:hAnsi="Arial"/>
                <w:sz w:val="24"/>
                <w:szCs w:val="24"/>
              </w:rPr>
              <w:t xml:space="preserve">23051,8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w:t>
            </w:r>
          </w:p>
          <w:p>
            <w:pPr>
              <w:jc w:val="center"/>
            </w:pPr>
            <w:r>
              <w:rPr>
                <w:rFonts w:ascii="Arial" w:cs="Arial" w:eastAsia="Arial" w:hAnsi="Arial"/>
                <w:sz w:val="24"/>
                <w:szCs w:val="24"/>
              </w:rPr>
              <w:t xml:space="preserve">54251,8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p>
            <w:pPr>
              <w:jc w:val="center"/>
            </w:pPr>
            <w:r>
              <w:rPr>
                <w:rFonts w:ascii="Arial" w:cs="Arial" w:eastAsia="Arial" w:hAnsi="Arial"/>
                <w:sz w:val="24"/>
                <w:szCs w:val="24"/>
              </w:rPr>
              <w:t xml:space="preserve">39150,0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19526</w:t>
            </w:r>
          </w:p>
          <w:p>
            <w:pPr>
              <w:jc w:val="center"/>
            </w:pPr>
            <w:r>
              <w:rPr>
                <w:rFonts w:ascii="Arial" w:cs="Arial" w:eastAsia="Arial" w:hAnsi="Arial"/>
                <w:sz w:val="24"/>
                <w:szCs w:val="24"/>
              </w:rPr>
              <w:t xml:space="preserve">3827,1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p>
            <w:pPr>
              <w:jc w:val="center"/>
            </w:pPr>
            <w:r>
              <w:rPr>
                <w:rFonts w:ascii="Arial" w:cs="Arial" w:eastAsia="Arial" w:hAnsi="Arial"/>
                <w:sz w:val="24"/>
                <w:szCs w:val="24"/>
              </w:rPr>
              <w:t xml:space="preserve">209,3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7026</w:t>
            </w:r>
          </w:p>
          <w:p>
            <w:pPr>
              <w:jc w:val="center"/>
            </w:pPr>
            <w:r>
              <w:rPr>
                <w:rFonts w:ascii="Arial" w:cs="Arial" w:eastAsia="Arial" w:hAnsi="Arial"/>
                <w:sz w:val="24"/>
                <w:szCs w:val="24"/>
              </w:rPr>
              <w:t xml:space="preserve">1377,1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7114</w:t>
            </w:r>
          </w:p>
          <w:p>
            <w:pPr>
              <w:jc w:val="center"/>
            </w:pPr>
            <w:r>
              <w:rPr>
                <w:rFonts w:ascii="Arial" w:cs="Arial" w:eastAsia="Arial" w:hAnsi="Arial"/>
                <w:sz w:val="24"/>
                <w:szCs w:val="24"/>
              </w:rPr>
              <w:t xml:space="preserve">1394,3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w:t>
            </w:r>
          </w:p>
          <w:p>
            <w:pPr>
              <w:jc w:val="center"/>
            </w:pPr>
            <w:r>
              <w:rPr>
                <w:rFonts w:ascii="Arial" w:cs="Arial" w:eastAsia="Arial" w:hAnsi="Arial"/>
                <w:sz w:val="24"/>
                <w:szCs w:val="24"/>
              </w:rPr>
              <w:t xml:space="preserve">846,4</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ГРП - газорегуляторный пункт;</w:t>
      </w:r>
    </w:p>
    <w:p>
      <w:pPr>
        <w:spacing w:after="60"/>
        <w:ind w:firstLine="567"/>
        <w:jc w:val="both"/>
      </w:pPr>
      <w:r>
        <w:rPr>
          <w:rFonts w:ascii="Arial" w:cs="Arial" w:eastAsia="Arial" w:hAnsi="Arial"/>
          <w:sz w:val="24"/>
          <w:szCs w:val="24"/>
        </w:rPr>
        <w:t xml:space="preserve">ШГРП - шкафной газорегуляторный пункт;</w:t>
      </w:r>
    </w:p>
    <w:p>
      <w:pPr>
        <w:spacing w:after="60"/>
        <w:ind w:firstLine="567"/>
        <w:jc w:val="both"/>
      </w:pPr>
      <w:r>
        <w:rPr>
          <w:rFonts w:ascii="Arial" w:cs="Arial" w:eastAsia="Arial" w:hAnsi="Arial"/>
          <w:sz w:val="24"/>
          <w:szCs w:val="24"/>
        </w:rPr>
        <w:t xml:space="preserve">ГРС - газорегуляторная станция;</w:t>
      </w:r>
    </w:p>
    <w:p>
      <w:pPr>
        <w:spacing w:after="60"/>
        <w:ind w:firstLine="567"/>
        <w:jc w:val="both"/>
      </w:pPr>
      <w:r>
        <w:rPr>
          <w:rFonts w:ascii="Arial" w:cs="Arial" w:eastAsia="Arial" w:hAnsi="Arial"/>
          <w:sz w:val="24"/>
          <w:szCs w:val="24"/>
        </w:rPr>
        <w:t xml:space="preserve">АГРС - 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ЗАДАНИЕ
 ГП "Кыргызжилкоммунсоюз" и КП "Бишкектеплоэнерго" и Ошскому МП "Теплоснабжение" по подготовке отопительных котельных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5"/>
        <w:gridCol w:w="1445"/>
        <w:gridCol w:w="1317"/>
        <w:gridCol w:w="1317"/>
        <w:gridCol w:w="1317"/>
        <w:gridCol w:w="1317"/>
      </w:tblGrid>
      <w:tr>
        <w:tc>
          <w:tcPr>
            <w:tcW w:type="dxa" w:w="34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52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 солярке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w:t>
            </w:r>
          </w:p>
          <w:p>
            <w:pPr>
              <w:jc w:val="left"/>
            </w:pPr>
            <w:r>
              <w:rPr>
                <w:rFonts w:ascii="Arial" w:cs="Arial" w:eastAsia="Arial" w:hAnsi="Arial"/>
                <w:sz w:val="24"/>
                <w:szCs w:val="24"/>
              </w:rPr>
              <w:t xml:space="preserve">в том числе:</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города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котельная в резерве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котельная в резерве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agqvgte5grmbuaieyzd">
      <w:r>
        <w:rPr>
          <w:rFonts w:ascii="Arial" w:cs="Arial" w:eastAsia="Arial" w:hAnsi="Arial"/>
          <w:color w:val="132D3F"/>
          <w:sz w:val="16"/>
          <w:szCs w:val="16"/>
          <w:u w:val="single"/>
        </w:rPr>
        <w:t xml:space="preserve">dalil.kg/document/97610</w:t>
      </w:r>
    </w:hyperlink>
  </w:p>
  <w:p>
    <w:pPr>
      <w:spacing w:after="0" w:before="40"/>
      <w:jc w:val="center"/>
    </w:pPr>
    <w:hyperlink w:history="1" r:id="rIddkqm8-dtnkzuwesfgax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sdcultsvcdmdggjl78x" Type="http://schemas.openxmlformats.org/officeDocument/2006/relationships/hyperlink" Target="https://dalil.kg/document/98601" TargetMode="External"/><Relationship Id="rIdyvbv1qjfj372ujuc4h5os" Type="http://schemas.openxmlformats.org/officeDocument/2006/relationships/hyperlink" Target="https://dalil.kg/document/97842" TargetMode="External"/><Relationship Id="rIdeloxctcjuza3hdzv93t6v" Type="http://schemas.openxmlformats.org/officeDocument/2006/relationships/hyperlink" Target="https://dalil.kg/document/98096" TargetMode="External"/><Relationship Id="rIdl8m4v61lvcsx2iybyeb0n" Type="http://schemas.openxmlformats.org/officeDocument/2006/relationships/hyperlink" Target="https://dalil.kg/document/98391" TargetMode="External"/><Relationship Id="rIdpxl-85rjn2j5dthhr5irf" Type="http://schemas.openxmlformats.org/officeDocument/2006/relationships/hyperlink" Target="https://dalil.kg/document/203685" TargetMode="External"/><Relationship Id="rId3cmbt1cresskhbeioy39j" Type="http://schemas.openxmlformats.org/officeDocument/2006/relationships/hyperlink" Target="https://dalil.kg/document/97610#p1" TargetMode="External"/><Relationship Id="rIdwqlbxffq_8ahklai0zcll" Type="http://schemas.openxmlformats.org/officeDocument/2006/relationships/hyperlink" Target="https://dalil.kg/document/97610#p1" TargetMode="External"/><Relationship Id="rId8cjolniche8b9xsan1bla" Type="http://schemas.openxmlformats.org/officeDocument/2006/relationships/hyperlink" Target="https://dalil.kg/document/97610#p21" TargetMode="External"/><Relationship Id="rIdwaa5frxej9qzwkydxdghu" Type="http://schemas.openxmlformats.org/officeDocument/2006/relationships/hyperlink" Target="https://dalil.kg/document/97842" TargetMode="External"/><Relationship Id="rIdd9_3ulnodqs_cyi2hp3ba" Type="http://schemas.openxmlformats.org/officeDocument/2006/relationships/hyperlink" Target="https://dalil.kg/document/97842" TargetMode="External"/><Relationship Id="rIdgo5rlfz4bm1cqlfkykymw" Type="http://schemas.openxmlformats.org/officeDocument/2006/relationships/hyperlink" Target="https://dalil.kg/document/97842" TargetMode="External"/><Relationship Id="rIdzozo1tza1zfkqreqz28fe" Type="http://schemas.openxmlformats.org/officeDocument/2006/relationships/hyperlink" Target="https://dalil.kg/document/205397" TargetMode="External"/><Relationship Id="rIdx4jzv8mo8sapvwubagim9" Type="http://schemas.openxmlformats.org/officeDocument/2006/relationships/hyperlink" Target="https://dalil.kg/document/97842" TargetMode="External"/><Relationship Id="rIdpm1mwt0xbmkbjauknp3id" Type="http://schemas.openxmlformats.org/officeDocument/2006/relationships/hyperlink" Target="https://dalil.kg/document/97579" TargetMode="External"/><Relationship Id="rIdlrumyz9dfidp5e8j8wpe0" Type="http://schemas.openxmlformats.org/officeDocument/2006/relationships/hyperlink" Target="https://dalil.kg/document/97610#p1" TargetMode="External"/><Relationship Id="rId9nkdpaoiwihzsnasu0tje" Type="http://schemas.openxmlformats.org/officeDocument/2006/relationships/hyperlink" Target="https://dalil.kg/document/97610#p21" TargetMode="External"/><Relationship Id="rIdudsanmmxqm4ml6fat5mun" Type="http://schemas.openxmlformats.org/officeDocument/2006/relationships/hyperlink" Target="https://dalil.kg/document/97610#p1" TargetMode="External"/><Relationship Id="rIdxmw3l7wqftrtj9r6zi6-b" Type="http://schemas.openxmlformats.org/officeDocument/2006/relationships/hyperlink" Target="https://dalil.kg/document/97610#p21" TargetMode="External"/><Relationship Id="rIdfczeza44bca_lsb6mbo8s" Type="http://schemas.openxmlformats.org/officeDocument/2006/relationships/hyperlink" Target="https://dalil.kg/document/98391" TargetMode="External"/><Relationship Id="rIddhoskxosixeadcu2vocuz" Type="http://schemas.openxmlformats.org/officeDocument/2006/relationships/hyperlink" Target="https://dalil.kg/document/97610#p2" TargetMode="External"/><Relationship Id="rIda-vt8e6rh6rxm4q-hqaiz" Type="http://schemas.openxmlformats.org/officeDocument/2006/relationships/hyperlink" Target="https://dalil.kg/document/97610#p11" TargetMode="External"/><Relationship Id="rIdctjsmx6npnhdcvpuay4jh" Type="http://schemas.openxmlformats.org/officeDocument/2006/relationships/hyperlink" Target="https://dalil.kg/document/96479" TargetMode="External"/><Relationship Id="rIdi1lvl3yniuinwczadqjak" Type="http://schemas.openxmlformats.org/officeDocument/2006/relationships/hyperlink" Target="https://dalil.kg/document/96971" TargetMode="External"/><Relationship Id="rId2i4yyisn-m3tnlkyhovfu" Type="http://schemas.openxmlformats.org/officeDocument/2006/relationships/hyperlink" Target="https://dalil.kg/document/96479" TargetMode="External"/><Relationship Id="rIdwf_bfpoltrze-cerxidmp" Type="http://schemas.openxmlformats.org/officeDocument/2006/relationships/hyperlink" Target="https://dalil.kg/document/97154" TargetMode="External"/><Relationship Id="rId1zwk5rhwdmk9fgqko1j__" Type="http://schemas.openxmlformats.org/officeDocument/2006/relationships/hyperlink" Target="https://dalil.kg/document/96479" TargetMode="External"/><Relationship Id="rIdhfl6oylawbzrr8t3d_ttr" Type="http://schemas.openxmlformats.org/officeDocument/2006/relationships/hyperlink" Target="https://dalil.kg/document/98096" TargetMode="External"/><Relationship Id="rIdaj4-ojemyvfqw_l2f_bvo" Type="http://schemas.openxmlformats.org/officeDocument/2006/relationships/hyperlink" Target="https://dalil.kg/document/9809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agqvgte5grmbuaieyzd" Type="http://schemas.openxmlformats.org/officeDocument/2006/relationships/hyperlink" Target="https://dalil.kg/document/97610" TargetMode="External"/><Relationship Id="rIddkqm8-dtnkzuwesfgax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2026-09-24T18:55:01.862Z</dcterms:created>
  <dcterms:modified xsi:type="dcterms:W3CDTF">2026-09-24T18:55:01.862Z</dcterms:modified>
</cp:coreProperties>
</file>

<file path=docProps/custom.xml><?xml version="1.0" encoding="utf-8"?>
<Properties xmlns="http://schemas.openxmlformats.org/officeDocument/2006/custom-properties" xmlns:vt="http://schemas.openxmlformats.org/officeDocument/2006/docPropsVTypes"/>
</file>