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gruwkhseammrawbl54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Т.Бакир уулу и Н.А.Мадалиевым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4mca8deb2yy8lympeyv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lh4furxgebzjeokxt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Т.Бакир уулу и Н.А.Мадалиевым.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0xd0slz4udjzz88toi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июля 2015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Т.Бакир уулу и Н.А.Мадалиевым,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1 и абзацем шестым части 2 законопроекта, предлагается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дополнить нормами, обязывающими фиксировать нарушения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 на фото- или видеоустройство и предоставлять данные доказательства водителю при остановке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исполнительную власть в Кыргызской Республике осуществляют Правительство Кыргызской Республики, подчиненные ему министерства, государственные комитеты, административные ведомства и местные государственные администрации.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полномочий, указанных в </w:t>
      </w:r>
      <w:r>
        <w:rPr>
          <w:rFonts w:ascii="Arial" w:cs="Arial" w:eastAsia="Arial" w:hAnsi="Arial"/>
          <w:sz w:val="24"/>
          <w:szCs w:val="24"/>
        </w:rPr>
        <w:t xml:space="preserve">конституционном Законе</w:t>
      </w:r>
      <w:r>
        <w:rPr>
          <w:rFonts w:ascii="Arial" w:cs="Arial" w:eastAsia="Arial" w:hAnsi="Arial"/>
          <w:sz w:val="24"/>
          <w:szCs w:val="24"/>
        </w:rPr>
        <w:t xml:space="preserve">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 Дорожно-патрульной службе Министерства внутренних дел Кыргызской Республики, утвержденному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2012 года № 560, Дорожно-патрульная служба Министерства внутренних дел Кыргызской Республики вправе использовать в установленном порядке специальные технические и транспортные средства для выявления и фиксации нарушений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движения. Таким образом, такое право уже установлено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связи с ограниченностью финансовых средств и технического обеспечения у сотрудников Дорожно-патрульной службы Министерства внутренних дел Кыргызской Республики не всегда имеется возможность применения технических средств фото и/или видеофиксации нарушений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движения, в связи с чем обязывать использование данных технических средств считаем неприемлемым.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остановка транспортного средства сотрудником органов внутренних дел только в случае фиксации нарушения и представления записей в качестве доказательства виновному лицу существенно усложнит работу сотрудникам органов внутренних дел по обеспечению безопасности дорожного движения и привлечению лица к ответственности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во-первых, в виду большого потока движения транспортных средств фиксация на фото и/или видеокамеру всех нарушений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 технически невозможна, так как фиксация производится только по одному направлению движения на определенном расстоянии. При этом стоит отметить, что в ночное время суток фиксация правонарушений с использованием средств фото/видеосъемки также будет невозможна;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во-вторых, данное введение может повлечь избежание виновным лицом ответственности за явные и грубые нарушения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 в связи с отсутствием соответствующего доказательства в виде фото/видеозаписи совершенного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считаем, что контроль за дорожным движением должен включать в себя, в том числе визуальное наблюдение и отсутствие фото и/или видеофиксации факта совершения административного правонарушения не должно являться основанием для отказа в возбуждении дела об административном правонарушении при его непосредственным обнаружении сотрудниками органов внутренних дел, так как это будет противоречить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547-1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ответственности, устанавливающей поводы для возбуждения дела об административном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часть 1 и абзац пятый части 2 статьи 1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Предложенной редакцией пункта 26-1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внутренних дел Кыргызской Республики" устанавливаются случаи остановки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изложенные положения не являются предметом регулирования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так как согласно преамбуле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, данный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определяет место и роль органов внутренних дел в системе исполнительной власти, устанавливает основные задачи, права и ответственность, гарантии правовой и социальной защиты, порядок их финансирования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исходя из полномочий, указанных в </w:t>
      </w:r>
      <w:r>
        <w:rPr>
          <w:rFonts w:ascii="Arial" w:cs="Arial" w:eastAsia="Arial" w:hAnsi="Arial"/>
          <w:sz w:val="24"/>
          <w:szCs w:val="24"/>
        </w:rPr>
        <w:t xml:space="preserve">конституционном Законе</w:t>
      </w:r>
      <w:r>
        <w:rPr>
          <w:rFonts w:ascii="Arial" w:cs="Arial" w:eastAsia="Arial" w:hAnsi="Arial"/>
          <w:sz w:val="24"/>
          <w:szCs w:val="24"/>
        </w:rPr>
        <w:t xml:space="preserve">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Дорожно-патрульной службе Министерства внутренних дел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2012 года № 560, на Дорожно-патрульную службу Министерства внутренних дел Кыргызской Республики возложена задача по незамедлительному реагированию на преступления и правонарушения, а также принятию необходимых мер по пресечению преступлений и правонарушений, задержанию лиц, подозреваемых в совершении преступлений и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нормы изложенных случаев содержатся в статьях </w:t>
      </w:r>
      <w:r>
        <w:rPr>
          <w:rFonts w:ascii="Arial" w:cs="Arial" w:eastAsia="Arial" w:hAnsi="Arial"/>
          <w:sz w:val="24"/>
          <w:szCs w:val="24"/>
        </w:rPr>
        <w:t xml:space="preserve">224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ответственности, за нарушение которых предусматривается административная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</w:t>
      </w:r>
      <w:r>
        <w:rPr>
          <w:rFonts w:ascii="Arial" w:cs="Arial" w:eastAsia="Arial" w:hAnsi="Arial"/>
          <w:sz w:val="24"/>
          <w:szCs w:val="24"/>
        </w:rPr>
        <w:t xml:space="preserve">статьей 547-1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предусмотрены поводы к возбуждению дела об административном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абзацы шестой-двенадцатый части 2 статьи 1 законопроекта считаем необходимым исключить, соответственно, абзацы первый-четвертый части 2 статьи 1 законопроекта также подлежат исключению.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при малозначительности совершенного административного правонарушения суд (судья) или орган (должностное лицо), уполномоченный рассматривать дело, освобождает нарушителя от административной ответственности и ограничивается устным предупреждением.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 законопроекта предлагается слова "устное предупреждение" заменить словами "устное замечание".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</w:t>
      </w:r>
      <w:r>
        <w:rPr>
          <w:rFonts w:ascii="Arial" w:cs="Arial" w:eastAsia="Arial" w:hAnsi="Arial"/>
          <w:sz w:val="24"/>
          <w:szCs w:val="24"/>
        </w:rPr>
        <w:t xml:space="preserve">статья 27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ответственности, регламентирующая виды административных взысканий, предусматривает предупреждение в качестве вида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разделу VI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предупреждение - замечание нарушителю, вынесенное уполномоченным на то государственным органом, должностным лицом в письменной форме. Устное замечание, сделанное нарушителю, не считается предупреждением.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часть 1 статьи 2 законопроекта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2 законопроекта предусматривается примечание к </w:t>
      </w:r>
      <w:r>
        <w:rPr>
          <w:rFonts w:ascii="Arial" w:cs="Arial" w:eastAsia="Arial" w:hAnsi="Arial"/>
          <w:sz w:val="24"/>
          <w:szCs w:val="24"/>
        </w:rPr>
        <w:t xml:space="preserve">статье 234-1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изложить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данные поправки излишними, а также дублирующими положения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отметить, что карта дислокации является служебным документом и рассматривать данный документ в рамках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считаем неприемлемым.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с момента принятия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 июля 2014 года № 110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234-1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в отношении сотрудников органов внутренних дел не было возбуждено ни одного административного материала по признакам нарушения, предусмотренного данной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67 </w:t>
      </w:r>
      <w:r>
        <w:rPr>
          <w:rFonts w:ascii="Arial" w:cs="Arial" w:eastAsia="Arial" w:hAnsi="Arial"/>
          <w:sz w:val="24"/>
          <w:szCs w:val="24"/>
        </w:rPr>
        <w:t xml:space="preserve">Дисциплинарного устава</w:t>
      </w:r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556, сотрудники органов внутренних дел независимо от специального звания и должности равны перед законом и могут привлекаться к дисциплинарной, административной, гражданско-правовой и уголовной ответственности, в зависимости от характера и тяжести совершенного ими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за нарушение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движения, правил охоты, рыболовства и охраны рыбных запасов, других правил и норм охраны окружающей среды, пожарной безопасности сотрудники органов внутренних дел несут административную ответственность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</w:t>
      </w:r>
      <w:r>
        <w:rPr>
          <w:rFonts w:ascii="Arial" w:cs="Arial" w:eastAsia="Arial" w:hAnsi="Arial"/>
          <w:sz w:val="24"/>
          <w:szCs w:val="24"/>
        </w:rPr>
        <w:t xml:space="preserve">статьей 400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установлена административная ответственность за невыполнение должностными лицами требований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считаем, что необходимости введения дополнительных норм, предусматривающих ответственность сотрудников органов внутренних дел, являющихся должностными лицами государственного органа, отсутствует, так как их ответственность уже предусмотрена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абзацы первый-пятый части 2 статьи 2 законопроекта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2 законопроекта предусматривается ввести административную ответственность сотрудников органов внутренних дел за передачу документов водителя транспортного средства третьему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Изложенная редакция нечетко сформулирована, в частности, неясно, кто является третьим лицом, также не проработан механизм сбора доказательств нарушений, допущенных сотрудниками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Министерством внутренних дел Кыргызской Республики совместно с Советом обороны Кыргызской Республики, Государственной регистрационной службой при Правительстве Кыргызской Республики и Антикоррупционной службой Государственного комитета национальной безопасности Кыргызской Республики разработан Межведомственный план внедрения проекта автоматизированного фиксирования нарушений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 без изъятия водительского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осуществляется реализация утвержденного плана, в рамках которого разработан законопроект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предусматривающий также запрет на изъятие водительского удостоверения у водителей по некоторым статьям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. По материалам, входящим в полномочия рассмотрения судебными органами Кыргызской Республики, водительское удостоверение будет изыматься и направляться в судебные органы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ведомственные акты Министерства внутренних дел Кыргызской Республики, регламентирующие деятельность Дорожно-патрульной службы, указывают, что при выявлении административных правонарушений составление административных материалов возлагается на сотрудников Дорожно-патрульной службы, которые не вправе делегировать данные права иным лицам или сотрудникам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отмечалось выше, отсутствует необходимость вводить дополнительные нормы, предусматривающие ответственность сотрудников органов внутренних дел, ответственность которых уже предусмотрена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часть 3 статьи 2 законопроекта считаем необходимым исключить. Соответственно, часть 4 статьи 2 законопроекта также подлежит исключению.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</w:t>
      </w:r>
      <w:r>
        <w:rPr>
          <w:rFonts w:ascii="Arial" w:cs="Arial" w:eastAsia="Arial" w:hAnsi="Arial"/>
          <w:sz w:val="24"/>
          <w:szCs w:val="24"/>
        </w:rPr>
        <w:t xml:space="preserve">статью 549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обстоятельствами, исключающими производство по делу об административном правонарушении, обстоятельствами в виде неправильного составления протокола и/или оформления других материалов дела, окончания сроков рассмотрения дела об административном правонарушении,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585</w:t>
      </w:r>
      <w:r>
        <w:rPr>
          <w:rFonts w:ascii="Arial" w:cs="Arial" w:eastAsia="Arial" w:hAnsi="Arial"/>
          <w:sz w:val="24"/>
          <w:szCs w:val="24"/>
        </w:rPr>
        <w:t xml:space="preserve"> Кодекса,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норма относительно неправильного составления протокола и/или оформления других материалов дела противоречит части 3 </w:t>
      </w:r>
      <w:r>
        <w:rPr>
          <w:rFonts w:ascii="Arial" w:cs="Arial" w:eastAsia="Arial" w:hAnsi="Arial"/>
          <w:sz w:val="24"/>
          <w:szCs w:val="24"/>
        </w:rPr>
        <w:t xml:space="preserve">статьи 558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и не дает четкого определения понятию "неправильное составление протокола и/или других материалов дела", что позволит правонарушителям избежать наказания путем подачи жалоб на любые неточности и даже грамматические ошибки, допущенные в административных протоколах.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считать обстоятельством, исключающим производство по делу об административном правонарушении, окончание сроков рассмотрения дела об административном правонарушении,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585</w:t>
      </w:r>
      <w:r>
        <w:rPr>
          <w:rFonts w:ascii="Arial" w:cs="Arial" w:eastAsia="Arial" w:hAnsi="Arial"/>
          <w:sz w:val="24"/>
          <w:szCs w:val="24"/>
        </w:rPr>
        <w:t xml:space="preserve"> Кодекса, считаем неприемлемым в связи с тем, что данная норма будет способствовать коррупционным проявлениям при рассмотрении дел об административном правонарушении; в действующей редакции </w:t>
      </w:r>
      <w:r>
        <w:rPr>
          <w:rFonts w:ascii="Arial" w:cs="Arial" w:eastAsia="Arial" w:hAnsi="Arial"/>
          <w:sz w:val="24"/>
          <w:szCs w:val="24"/>
        </w:rPr>
        <w:t xml:space="preserve">статьи 549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предусмотрены обстоятельства, исключающие производство по делу об административном правонарушении, возникающие в правоприменительной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частей 3 и 4 </w:t>
      </w:r>
      <w:r>
        <w:rPr>
          <w:rFonts w:ascii="Arial" w:cs="Arial" w:eastAsia="Arial" w:hAnsi="Arial"/>
          <w:sz w:val="24"/>
          <w:szCs w:val="24"/>
        </w:rPr>
        <w:t xml:space="preserve">статьи 558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негативно отразится на деятельности органов внутренних дел, так как на практике необходимо выделение дополнительного времени для устранения выявленных недостатков при составлении протокола и оформлении других материалов дела, тогда как в действующей редакции урегулировано решение возникших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части 5 и 6 статьи 2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7 статьи 2 законопроекта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566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дополнить нормой, обязывающей в случаях, не терпящих отлагательств, в процессе осмотра вещей в отсутствие собственника (владельца), кроме участия понятых, также производить видеосъемку всего процесса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ограниченностью финансовых средств и технического обеспечения у сотрудников органов внутренних дел не всегда имеется возможность применения технических средств видеозаписи, в связи с чем обязывать производить видеосъемку процесса осмотра вещей считаем неприемлемым.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действующей редакции </w:t>
      </w:r>
      <w:r>
        <w:rPr>
          <w:rFonts w:ascii="Arial" w:cs="Arial" w:eastAsia="Arial" w:hAnsi="Arial"/>
          <w:sz w:val="24"/>
          <w:szCs w:val="24"/>
        </w:rPr>
        <w:t xml:space="preserve">статьи 556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в случаях, не терпящих отлагательств, в отсутствие собственника (владельца) вещи предметы подвергаются осмотру с участием двух понятых.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личном досмотре и осмотре вещей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575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понятым является совершеннолетнее лицо, не заинтересованное в исходе дела. Понятой имеет право делать по поводу производимого действия заявления и замечания, подлежащие занесению в протокол. В случае необходимости понятой может быть опрошен в качестве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часть 7 статьи 2 законопроекта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считаем, что принятие законопроекта в представленной редакции негативным образом отразится на уровне безопасности дорожного движения, повлечет безнаказанность водителей транспортных средств, нарушающих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движения, приведет к увеличению количества дорожно-транспортных происшествий, травматизма и смертности на дорогах.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целесообразно рассматривать после полноценного внедрения проекта государственно-частного партнерства "Безопасный город", предусматривающего установление автоматизированной системы видеонаблюдения, фото и/или видеофиксации, фото и/или видеораспознавания, а также оснащения необходимыми техническими средствами сотрудников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принятие проекта Закона Кыргызской Республики "О внесении дополнений и изменений в некоторые законодательные акты Кыргызской Республики"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zva_iaohgpxe92ft3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dalil.kg/document/97725</w:t>
      </w:r>
    </w:hyperlink>
  </w:p>
  <w:p>
    <w:pPr>
      <w:spacing w:after="0" w:before="40"/>
      <w:jc w:val="center"/>
    </w:pPr>
    <w:hyperlink w:history="1" r:id="rIdasel_wjw6vrngawqypz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ruwkhseammrawbl54xy" Type="http://schemas.openxmlformats.org/officeDocument/2006/relationships/hyperlink" Target="https://dalil.kg/document/159126" TargetMode="External"/><Relationship Id="rId4mca8deb2yy8lympeyvg0" Type="http://schemas.openxmlformats.org/officeDocument/2006/relationships/hyperlink" Target="https://dalil.kg/document/203685" TargetMode="External"/><Relationship Id="rIdklh4furxgebzjeokxtmpf" Type="http://schemas.openxmlformats.org/officeDocument/2006/relationships/hyperlink" Target="https://dalil.kg/document/97725#p1" TargetMode="External"/><Relationship Id="rId0xd0slz4udjzz88toikug" Type="http://schemas.openxmlformats.org/officeDocument/2006/relationships/hyperlink" Target="https://dalil.kg/document/977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zva_iaohgpxe92ft3n0" Type="http://schemas.openxmlformats.org/officeDocument/2006/relationships/hyperlink" Target="https://dalil.kg/document/97725" TargetMode="External"/><Relationship Id="rIdasel_wjw6vrngawqypz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2026-09-24T15:22:56.376Z</dcterms:created>
  <dcterms:modified xsi:type="dcterms:W3CDTF">2026-09-24T15:22:56.376Z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