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toswyoglqkfq296zse0r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июля 2015 года № 459</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государственно-частном партнерстве в Кыргызской Республике"</w:t>
      </w:r>
    </w:p>
    <w:p>
      <w:pPr>
        <w:spacing w:after="120"/>
        <w:jc w:val="both"/>
      </w:pPr>
      <w:r>
        <w:rPr>
          <w:rFonts w:ascii="Arial" w:cs="Arial" w:eastAsia="Arial" w:hAnsi="Arial"/>
          <w:sz w:val="24"/>
          <w:szCs w:val="24"/>
        </w:rPr>
        <w:t xml:space="preserve">В соответствии со статьей 79 </w:t>
      </w:r>
      <w:hyperlink w:history="1" r:id="rIdznl1-ekn9uexesno2h9o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lhtq1pgpovfr--ixppclb">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Закон Кыргызской Республики "О государственно-частном партнерстве в Кыргызской Республике".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государственно-частном партнерстве в Кыргызской Республике"</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государственно-частном партнерстве в Кыргызской Республике" (газета "Эркин Тоо" от 28 февраля 2012 года № 17)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в абзаце шестом слово "Правительство," исключить, после слов "местного самоуправления" дополнить словом ", государственные";</w:t>
      </w:r>
    </w:p>
    <w:p>
      <w:pPr>
        <w:spacing w:after="120"/>
        <w:jc w:val="both"/>
      </w:pPr>
      <w:r>
        <w:rPr>
          <w:rFonts w:ascii="Arial" w:cs="Arial" w:eastAsia="Arial" w:hAnsi="Arial"/>
          <w:sz w:val="24"/>
          <w:szCs w:val="24"/>
        </w:rPr>
        <w:t xml:space="preserve">- абзац девятый изложить в следующей редакции:</w:t>
      </w:r>
    </w:p>
    <w:p>
      <w:pPr>
        <w:spacing w:after="120"/>
        <w:jc w:val="both"/>
      </w:pPr>
      <w:r>
        <w:rPr>
          <w:rFonts w:ascii="Arial" w:cs="Arial" w:eastAsia="Arial" w:hAnsi="Arial"/>
          <w:sz w:val="24"/>
          <w:szCs w:val="24"/>
        </w:rPr>
        <w:t xml:space="preserve">"тендер - процесс отбора частного партнера;";</w:t>
      </w:r>
    </w:p>
    <w:p>
      <w:pPr>
        <w:spacing w:after="120"/>
        <w:jc w:val="both"/>
      </w:pPr>
      <w:r>
        <w:rPr>
          <w:rFonts w:ascii="Arial" w:cs="Arial" w:eastAsia="Arial" w:hAnsi="Arial"/>
          <w:sz w:val="24"/>
          <w:szCs w:val="24"/>
        </w:rPr>
        <w:t xml:space="preserve">- в абзаце десятом после слов и аббревиатуры "об инициировании проекта ГЧП" дополнить словами "и отражаемые в тендерной документации;";</w:t>
      </w:r>
    </w:p>
    <w:p>
      <w:pPr>
        <w:spacing w:after="120"/>
        <w:jc w:val="both"/>
      </w:pPr>
      <w:r>
        <w:rPr>
          <w:rFonts w:ascii="Arial" w:cs="Arial" w:eastAsia="Arial" w:hAnsi="Arial"/>
          <w:sz w:val="24"/>
          <w:szCs w:val="24"/>
        </w:rPr>
        <w:t xml:space="preserve">- абзац двадцатый изложить в следующей редакции:</w:t>
      </w:r>
    </w:p>
    <w:p>
      <w:pPr>
        <w:spacing w:after="120"/>
        <w:jc w:val="both"/>
      </w:pPr>
      <w:r>
        <w:rPr>
          <w:rFonts w:ascii="Arial" w:cs="Arial" w:eastAsia="Arial" w:hAnsi="Arial"/>
          <w:sz w:val="24"/>
          <w:szCs w:val="24"/>
        </w:rPr>
        <w:t xml:space="preserve">"тендерная документация - разработанные государственным партнером критерии отбора частного партнера;";</w:t>
      </w:r>
    </w:p>
    <w:p>
      <w:pPr>
        <w:spacing w:after="120"/>
        <w:jc w:val="both"/>
      </w:pPr>
      <w:r>
        <w:rPr>
          <w:rFonts w:ascii="Arial" w:cs="Arial" w:eastAsia="Arial" w:hAnsi="Arial"/>
          <w:sz w:val="24"/>
          <w:szCs w:val="24"/>
        </w:rPr>
        <w:t xml:space="preserve">- в абзаце двадцать первом слова "или объединение таких юридических лиц" исключить;</w:t>
      </w:r>
    </w:p>
    <w:p>
      <w:pPr>
        <w:spacing w:after="120"/>
        <w:jc w:val="both"/>
      </w:pPr>
      <w:r>
        <w:rPr>
          <w:rFonts w:ascii="Arial" w:cs="Arial" w:eastAsia="Arial" w:hAnsi="Arial"/>
          <w:sz w:val="24"/>
          <w:szCs w:val="24"/>
        </w:rPr>
        <w:t xml:space="preserve">- абзацы двенадцатый и девятнадцатый признать утратившими силу.</w:t>
      </w:r>
    </w:p>
    <w:p>
      <w:pPr>
        <w:spacing w:after="120"/>
        <w:jc w:val="both"/>
      </w:pPr>
      <w:r>
        <w:rPr>
          <w:rFonts w:ascii="Arial" w:cs="Arial" w:eastAsia="Arial" w:hAnsi="Arial"/>
          <w:sz w:val="24"/>
          <w:szCs w:val="24"/>
        </w:rPr>
        <w:t xml:space="preserve">2. Часть 2 статьи 3 признать утратившей силу.</w:t>
      </w:r>
    </w:p>
    <w:p>
      <w:pPr>
        <w:spacing w:after="120"/>
        <w:jc w:val="both"/>
      </w:pPr>
      <w:r>
        <w:rPr>
          <w:rFonts w:ascii="Arial" w:cs="Arial" w:eastAsia="Arial" w:hAnsi="Arial"/>
          <w:sz w:val="24"/>
          <w:szCs w:val="24"/>
        </w:rPr>
        <w:t xml:space="preserve">3. Абзац седьмой статьи 8 признать утратившим силу.</w:t>
      </w:r>
    </w:p>
    <w:p>
      <w:pPr>
        <w:spacing w:after="120"/>
        <w:jc w:val="both"/>
      </w:pPr>
      <w:r>
        <w:rPr>
          <w:rFonts w:ascii="Arial" w:cs="Arial" w:eastAsia="Arial" w:hAnsi="Arial"/>
          <w:sz w:val="24"/>
          <w:szCs w:val="24"/>
        </w:rPr>
        <w:t xml:space="preserve">4. В статье 9:</w:t>
      </w:r>
    </w:p>
    <w:p>
      <w:pPr>
        <w:spacing w:after="120"/>
        <w:jc w:val="both"/>
      </w:pPr>
      <w:r>
        <w:rPr>
          <w:rFonts w:ascii="Arial" w:cs="Arial" w:eastAsia="Arial" w:hAnsi="Arial"/>
          <w:sz w:val="24"/>
          <w:szCs w:val="24"/>
        </w:rPr>
        <w:t xml:space="preserve">- абзац шестой изложить в следующей редакции:</w:t>
      </w:r>
    </w:p>
    <w:p>
      <w:pPr>
        <w:spacing w:after="120"/>
        <w:jc w:val="both"/>
      </w:pPr>
      <w:r>
        <w:rPr>
          <w:rFonts w:ascii="Arial" w:cs="Arial" w:eastAsia="Arial" w:hAnsi="Arial"/>
          <w:sz w:val="24"/>
          <w:szCs w:val="24"/>
        </w:rPr>
        <w:t xml:space="preserve">"- оценка и утверждение проектов ГЧП, инициируемых государственными партнерами;";</w:t>
      </w:r>
    </w:p>
    <w:p>
      <w:pPr>
        <w:spacing w:after="120"/>
        <w:jc w:val="both"/>
      </w:pPr>
      <w:r>
        <w:rPr>
          <w:rFonts w:ascii="Arial" w:cs="Arial" w:eastAsia="Arial" w:hAnsi="Arial"/>
          <w:sz w:val="24"/>
          <w:szCs w:val="24"/>
        </w:rPr>
        <w:t xml:space="preserve">- дополнить абзацем тринадцатым следующего содержания:</w:t>
      </w:r>
    </w:p>
    <w:p>
      <w:pPr>
        <w:spacing w:after="120"/>
        <w:jc w:val="both"/>
      </w:pPr>
      <w:r>
        <w:rPr>
          <w:rFonts w:ascii="Arial" w:cs="Arial" w:eastAsia="Arial" w:hAnsi="Arial"/>
          <w:sz w:val="24"/>
          <w:szCs w:val="24"/>
        </w:rPr>
        <w:t xml:space="preserve">"- оказание содействия государственным партнерам в продвижении и сопровождении проектов ГЧП;".</w:t>
      </w:r>
    </w:p>
    <w:p>
      <w:pPr>
        <w:spacing w:after="120"/>
        <w:jc w:val="both"/>
      </w:pPr>
      <w:r>
        <w:rPr>
          <w:rFonts w:ascii="Arial" w:cs="Arial" w:eastAsia="Arial" w:hAnsi="Arial"/>
          <w:sz w:val="24"/>
          <w:szCs w:val="24"/>
        </w:rPr>
        <w:t xml:space="preserve">5. Статью 10 изложить в следующей редакции:</w:t>
      </w:r>
    </w:p>
    <w:p>
      <w:pPr>
        <w:spacing w:after="120"/>
        <w:jc w:val="both"/>
      </w:pPr>
      <w:r>
        <w:rPr>
          <w:rFonts w:ascii="Arial" w:cs="Arial" w:eastAsia="Arial" w:hAnsi="Arial"/>
          <w:sz w:val="24"/>
          <w:szCs w:val="24"/>
        </w:rPr>
        <w:t xml:space="preserve">"Статья 10. Компетенция государственного органа по управлению рисками</w:t>
      </w:r>
    </w:p>
    <w:p>
      <w:pPr>
        <w:spacing w:after="120"/>
        <w:jc w:val="both"/>
      </w:pPr>
      <w:r>
        <w:rPr>
          <w:rFonts w:ascii="Arial" w:cs="Arial" w:eastAsia="Arial" w:hAnsi="Arial"/>
          <w:sz w:val="24"/>
          <w:szCs w:val="24"/>
        </w:rPr>
        <w:t xml:space="preserve">В компетенцию государственного органа по управлению рисками, определяемого Правительством, входит утверждение тендерной документации, а также внесение изменений в нее.".</w:t>
      </w:r>
    </w:p>
    <w:p>
      <w:pPr>
        <w:spacing w:after="120"/>
        <w:jc w:val="both"/>
      </w:pPr>
      <w:r>
        <w:rPr>
          <w:rFonts w:ascii="Arial" w:cs="Arial" w:eastAsia="Arial" w:hAnsi="Arial"/>
          <w:sz w:val="24"/>
          <w:szCs w:val="24"/>
        </w:rPr>
        <w:t xml:space="preserve">6. В статье 12:</w:t>
      </w:r>
    </w:p>
    <w:p>
      <w:pPr>
        <w:spacing w:after="120"/>
        <w:jc w:val="both"/>
      </w:pPr>
      <w:r>
        <w:rPr>
          <w:rFonts w:ascii="Arial" w:cs="Arial" w:eastAsia="Arial" w:hAnsi="Arial"/>
          <w:sz w:val="24"/>
          <w:szCs w:val="24"/>
        </w:rPr>
        <w:t xml:space="preserve">- пункт 2 части 3 слово "банковских" заменить словом "кредитных";</w:t>
      </w:r>
    </w:p>
    <w:p>
      <w:pPr>
        <w:spacing w:after="120"/>
        <w:jc w:val="both"/>
      </w:pPr>
      <w:r>
        <w:rPr>
          <w:rFonts w:ascii="Arial" w:cs="Arial" w:eastAsia="Arial" w:hAnsi="Arial"/>
          <w:sz w:val="24"/>
          <w:szCs w:val="24"/>
        </w:rPr>
        <w:t xml:space="preserve">- часть 3 статьи 12 дополнить пунктами 8 и 9 следующего содержания:</w:t>
      </w:r>
    </w:p>
    <w:p>
      <w:pPr>
        <w:spacing w:after="120"/>
        <w:jc w:val="both"/>
      </w:pPr>
      <w:r>
        <w:rPr>
          <w:rFonts w:ascii="Arial" w:cs="Arial" w:eastAsia="Arial" w:hAnsi="Arial"/>
          <w:sz w:val="24"/>
          <w:szCs w:val="24"/>
        </w:rPr>
        <w:t xml:space="preserve">"8) предоставление гарантий минимальной доходности проекта ГЧП в целях обеспечения его финансовой жизнеспособности;</w:t>
      </w:r>
    </w:p>
    <w:p>
      <w:pPr>
        <w:spacing w:after="120"/>
        <w:jc w:val="both"/>
      </w:pPr>
      <w:r>
        <w:rPr>
          <w:rFonts w:ascii="Arial" w:cs="Arial" w:eastAsia="Arial" w:hAnsi="Arial"/>
          <w:sz w:val="24"/>
          <w:szCs w:val="24"/>
        </w:rPr>
        <w:t xml:space="preserve">9) предоставление гарантий в отношении возможного колебания обменных курсов валют и/или процентных ставок по привлекаемым средствам для реализации проекта ГЧП.".</w:t>
      </w:r>
    </w:p>
    <w:p>
      <w:pPr>
        <w:spacing w:after="120"/>
        <w:jc w:val="both"/>
      </w:pPr>
      <w:r>
        <w:rPr>
          <w:rFonts w:ascii="Arial" w:cs="Arial" w:eastAsia="Arial" w:hAnsi="Arial"/>
          <w:sz w:val="24"/>
          <w:szCs w:val="24"/>
        </w:rPr>
        <w:t xml:space="preserve">7. Статьи 15-20 изложить в следующей редакции:</w:t>
      </w:r>
    </w:p>
    <w:p>
      <w:pPr>
        <w:spacing w:after="120"/>
        <w:jc w:val="both"/>
      </w:pPr>
      <w:r>
        <w:rPr>
          <w:rFonts w:ascii="Arial" w:cs="Arial" w:eastAsia="Arial" w:hAnsi="Arial"/>
          <w:sz w:val="24"/>
          <w:szCs w:val="24"/>
        </w:rPr>
        <w:t xml:space="preserve">"Статья 15. Стадии проекта ГЧП</w:t>
      </w:r>
    </w:p>
    <w:p>
      <w:pPr>
        <w:spacing w:after="120"/>
        <w:jc w:val="both"/>
      </w:pPr>
      <w:r>
        <w:rPr>
          <w:rFonts w:ascii="Arial" w:cs="Arial" w:eastAsia="Arial" w:hAnsi="Arial"/>
          <w:sz w:val="24"/>
          <w:szCs w:val="24"/>
        </w:rPr>
        <w:t xml:space="preserve">Стадиями проекта ГЧП являются:</w:t>
      </w:r>
    </w:p>
    <w:p>
      <w:pPr>
        <w:spacing w:after="120"/>
        <w:jc w:val="both"/>
      </w:pPr>
      <w:r>
        <w:rPr>
          <w:rFonts w:ascii="Arial" w:cs="Arial" w:eastAsia="Arial" w:hAnsi="Arial"/>
          <w:sz w:val="24"/>
          <w:szCs w:val="24"/>
        </w:rPr>
        <w:t xml:space="preserve">1) поиск и инициирование проекта ГЧП;</w:t>
      </w:r>
    </w:p>
    <w:p>
      <w:pPr>
        <w:spacing w:after="120"/>
        <w:jc w:val="both"/>
      </w:pPr>
      <w:r>
        <w:rPr>
          <w:rFonts w:ascii="Arial" w:cs="Arial" w:eastAsia="Arial" w:hAnsi="Arial"/>
          <w:sz w:val="24"/>
          <w:szCs w:val="24"/>
        </w:rPr>
        <w:t xml:space="preserve">2) подготовка проекта ГЧП;</w:t>
      </w:r>
    </w:p>
    <w:p>
      <w:pPr>
        <w:spacing w:after="120"/>
        <w:jc w:val="both"/>
      </w:pPr>
      <w:r>
        <w:rPr>
          <w:rFonts w:ascii="Arial" w:cs="Arial" w:eastAsia="Arial" w:hAnsi="Arial"/>
          <w:sz w:val="24"/>
          <w:szCs w:val="24"/>
        </w:rPr>
        <w:t xml:space="preserve">3) отбор частного партнера;</w:t>
      </w:r>
    </w:p>
    <w:p>
      <w:pPr>
        <w:spacing w:after="120"/>
        <w:jc w:val="both"/>
      </w:pPr>
      <w:r>
        <w:rPr>
          <w:rFonts w:ascii="Arial" w:cs="Arial" w:eastAsia="Arial" w:hAnsi="Arial"/>
          <w:sz w:val="24"/>
          <w:szCs w:val="24"/>
        </w:rPr>
        <w:t xml:space="preserve">4) реализация проекта ГЧП.</w:t>
      </w:r>
    </w:p>
    <w:p>
      <w:pPr>
        <w:spacing w:after="120"/>
        <w:jc w:val="both"/>
      </w:pPr>
      <w:r>
        <w:rPr>
          <w:rFonts w:ascii="Arial" w:cs="Arial" w:eastAsia="Arial" w:hAnsi="Arial"/>
          <w:sz w:val="24"/>
          <w:szCs w:val="24"/>
        </w:rPr>
        <w:t xml:space="preserve">Статья 16. Поиск и инициирование проекта ГЧП</w:t>
      </w:r>
    </w:p>
    <w:p>
      <w:pPr>
        <w:spacing w:after="120"/>
        <w:jc w:val="both"/>
      </w:pPr>
      <w:r>
        <w:rPr>
          <w:rFonts w:ascii="Arial" w:cs="Arial" w:eastAsia="Arial" w:hAnsi="Arial"/>
          <w:sz w:val="24"/>
          <w:szCs w:val="24"/>
        </w:rPr>
        <w:t xml:space="preserve">1. Поиск и инициирование проекта ГЧП осуществляются государственным партнером с учетом государственных и муниципальных программ развития ГЧП, программ социально-экономического развития, программ развития отраслей, иных программ и планов развития отдельных территориальных единиц.</w:t>
      </w:r>
    </w:p>
    <w:p>
      <w:pPr>
        <w:spacing w:after="120"/>
        <w:jc w:val="both"/>
      </w:pPr>
      <w:r>
        <w:rPr>
          <w:rFonts w:ascii="Arial" w:cs="Arial" w:eastAsia="Arial" w:hAnsi="Arial"/>
          <w:sz w:val="24"/>
          <w:szCs w:val="24"/>
        </w:rPr>
        <w:t xml:space="preserve">2. Процесс инициирования проекта ГЧП включает в себя:</w:t>
      </w:r>
    </w:p>
    <w:p>
      <w:pPr>
        <w:spacing w:after="120"/>
        <w:jc w:val="both"/>
      </w:pPr>
      <w:r>
        <w:rPr>
          <w:rFonts w:ascii="Arial" w:cs="Arial" w:eastAsia="Arial" w:hAnsi="Arial"/>
          <w:sz w:val="24"/>
          <w:szCs w:val="24"/>
        </w:rPr>
        <w:t xml:space="preserve">- подготовку государственным партнером предварительной оценки потенциального проекта, включающего обоснование целесообразности применения ГЧП к выбранному инфраструктурному объекту, минимальные требования к проекту, виды и условия предоставления государственной финансовой и/или государственной экономической поддержки и государственных гарантий, а также иные документы, предусмотренные соответствующими нормативными правовыми актами в сфере ГЧП;</w:t>
      </w:r>
    </w:p>
    <w:p>
      <w:pPr>
        <w:spacing w:after="120"/>
        <w:jc w:val="both"/>
      </w:pPr>
      <w:r>
        <w:rPr>
          <w:rFonts w:ascii="Arial" w:cs="Arial" w:eastAsia="Arial" w:hAnsi="Arial"/>
          <w:sz w:val="24"/>
          <w:szCs w:val="24"/>
        </w:rPr>
        <w:t xml:space="preserve">- обоснование того, что инициируемый проект ГЧП отвечает интересам государства.</w:t>
      </w:r>
    </w:p>
    <w:p>
      <w:pPr>
        <w:spacing w:after="120"/>
        <w:jc w:val="both"/>
      </w:pPr>
      <w:r>
        <w:rPr>
          <w:rFonts w:ascii="Arial" w:cs="Arial" w:eastAsia="Arial" w:hAnsi="Arial"/>
          <w:sz w:val="24"/>
          <w:szCs w:val="24"/>
        </w:rPr>
        <w:t xml:space="preserve">3. Инициированный проект ГЧП утверждается уполномоченным государственным органом.</w:t>
      </w:r>
    </w:p>
    <w:p>
      <w:pPr>
        <w:spacing w:after="120"/>
        <w:jc w:val="both"/>
      </w:pPr>
      <w:r>
        <w:rPr>
          <w:rFonts w:ascii="Arial" w:cs="Arial" w:eastAsia="Arial" w:hAnsi="Arial"/>
          <w:sz w:val="24"/>
          <w:szCs w:val="24"/>
        </w:rPr>
        <w:t xml:space="preserve">После утверждения проекта ГЧП уполномоченным государственным органом, государственный партнер переходит к стадии подготовки проекта ГЧП.</w:t>
      </w:r>
    </w:p>
    <w:p>
      <w:pPr>
        <w:spacing w:after="120"/>
        <w:jc w:val="both"/>
      </w:pPr>
      <w:r>
        <w:rPr>
          <w:rFonts w:ascii="Arial" w:cs="Arial" w:eastAsia="Arial" w:hAnsi="Arial"/>
          <w:sz w:val="24"/>
          <w:szCs w:val="24"/>
        </w:rPr>
        <w:t xml:space="preserve">Статья 17. Подготовка проекта ГЧП</w:t>
      </w:r>
    </w:p>
    <w:p>
      <w:pPr>
        <w:spacing w:after="120"/>
        <w:jc w:val="both"/>
      </w:pPr>
      <w:r>
        <w:rPr>
          <w:rFonts w:ascii="Arial" w:cs="Arial" w:eastAsia="Arial" w:hAnsi="Arial"/>
          <w:sz w:val="24"/>
          <w:szCs w:val="24"/>
        </w:rPr>
        <w:t xml:space="preserve">1. Подготовка проекта ГЧП включает в себя:</w:t>
      </w:r>
    </w:p>
    <w:p>
      <w:pPr>
        <w:spacing w:after="120"/>
        <w:jc w:val="both"/>
      </w:pPr>
      <w:r>
        <w:rPr>
          <w:rFonts w:ascii="Arial" w:cs="Arial" w:eastAsia="Arial" w:hAnsi="Arial"/>
          <w:sz w:val="24"/>
          <w:szCs w:val="24"/>
        </w:rPr>
        <w:t xml:space="preserve">1) определение требований к проекту ГЧП и оценка финансовых, социальных, экономических последствий и возможных рисков при его реализации;</w:t>
      </w:r>
    </w:p>
    <w:p>
      <w:pPr>
        <w:spacing w:after="120"/>
        <w:jc w:val="both"/>
      </w:pPr>
      <w:r>
        <w:rPr>
          <w:rFonts w:ascii="Arial" w:cs="Arial" w:eastAsia="Arial" w:hAnsi="Arial"/>
          <w:sz w:val="24"/>
          <w:szCs w:val="24"/>
        </w:rPr>
        <w:t xml:space="preserve">2) подготовку правил проведения тендера, критериев отбора, тендерной документации, в том числе описание предполагаемых результатов и механизмов финансирования. На стадии подготовки проекта ГЧП пакет тендерной документации утверждается государственным органом по управлению рисками.</w:t>
      </w:r>
    </w:p>
    <w:p>
      <w:pPr>
        <w:spacing w:after="120"/>
        <w:jc w:val="both"/>
      </w:pPr>
      <w:r>
        <w:rPr>
          <w:rFonts w:ascii="Arial" w:cs="Arial" w:eastAsia="Arial" w:hAnsi="Arial"/>
          <w:sz w:val="24"/>
          <w:szCs w:val="24"/>
        </w:rPr>
        <w:t xml:space="preserve">Тендерная документация включает в себя:</w:t>
      </w:r>
    </w:p>
    <w:p>
      <w:pPr>
        <w:spacing w:after="120"/>
        <w:jc w:val="both"/>
      </w:pPr>
      <w:r>
        <w:rPr>
          <w:rFonts w:ascii="Arial" w:cs="Arial" w:eastAsia="Arial" w:hAnsi="Arial"/>
          <w:sz w:val="24"/>
          <w:szCs w:val="24"/>
        </w:rPr>
        <w:t xml:space="preserve">- информацию о проекте ГЧП, включая цены, платежи, тарифы, лицензии и разрешения, а также другие необходимые специальные требования, утверждаемые государственным партнером;</w:t>
      </w:r>
    </w:p>
    <w:p>
      <w:pPr>
        <w:spacing w:after="120"/>
        <w:jc w:val="both"/>
      </w:pPr>
      <w:r>
        <w:rPr>
          <w:rFonts w:ascii="Arial" w:cs="Arial" w:eastAsia="Arial" w:hAnsi="Arial"/>
          <w:sz w:val="24"/>
          <w:szCs w:val="24"/>
        </w:rPr>
        <w:t xml:space="preserve">- полную информацию о государственной финансовой и/или экономической поддержке;</w:t>
      </w:r>
    </w:p>
    <w:p>
      <w:pPr>
        <w:spacing w:after="120"/>
        <w:jc w:val="both"/>
      </w:pPr>
      <w:r>
        <w:rPr>
          <w:rFonts w:ascii="Arial" w:cs="Arial" w:eastAsia="Arial" w:hAnsi="Arial"/>
          <w:sz w:val="24"/>
          <w:szCs w:val="24"/>
        </w:rPr>
        <w:t xml:space="preserve">- условия и порядок проведения тендера;</w:t>
      </w:r>
    </w:p>
    <w:p>
      <w:pPr>
        <w:spacing w:after="120"/>
        <w:jc w:val="both"/>
      </w:pPr>
      <w:r>
        <w:rPr>
          <w:rFonts w:ascii="Arial" w:cs="Arial" w:eastAsia="Arial" w:hAnsi="Arial"/>
          <w:sz w:val="24"/>
          <w:szCs w:val="24"/>
        </w:rPr>
        <w:t xml:space="preserve">- критерии оценки и отбора частного партнера;</w:t>
      </w:r>
    </w:p>
    <w:p>
      <w:pPr>
        <w:spacing w:after="120"/>
        <w:jc w:val="both"/>
      </w:pPr>
      <w:r>
        <w:rPr>
          <w:rFonts w:ascii="Arial" w:cs="Arial" w:eastAsia="Arial" w:hAnsi="Arial"/>
          <w:sz w:val="24"/>
          <w:szCs w:val="24"/>
        </w:rPr>
        <w:t xml:space="preserve">- проект соглашения о ГЧП;</w:t>
      </w:r>
    </w:p>
    <w:p>
      <w:pPr>
        <w:spacing w:after="120"/>
        <w:jc w:val="both"/>
      </w:pPr>
      <w:r>
        <w:rPr>
          <w:rFonts w:ascii="Arial" w:cs="Arial" w:eastAsia="Arial" w:hAnsi="Arial"/>
          <w:sz w:val="24"/>
          <w:szCs w:val="24"/>
        </w:rPr>
        <w:t xml:space="preserve">- условия и порядок распределения рисков между государственным и частным партнерами;</w:t>
      </w:r>
    </w:p>
    <w:p>
      <w:pPr>
        <w:spacing w:after="120"/>
        <w:jc w:val="both"/>
      </w:pPr>
      <w:r>
        <w:rPr>
          <w:rFonts w:ascii="Arial" w:cs="Arial" w:eastAsia="Arial" w:hAnsi="Arial"/>
          <w:sz w:val="24"/>
          <w:szCs w:val="24"/>
        </w:rPr>
        <w:t xml:space="preserve">- другую информацию, дополнительно утверждаемую государственным партнером;</w:t>
      </w:r>
    </w:p>
    <w:p>
      <w:pPr>
        <w:spacing w:after="120"/>
        <w:jc w:val="both"/>
      </w:pPr>
      <w:r>
        <w:rPr>
          <w:rFonts w:ascii="Arial" w:cs="Arial" w:eastAsia="Arial" w:hAnsi="Arial"/>
          <w:sz w:val="24"/>
          <w:szCs w:val="24"/>
        </w:rPr>
        <w:t xml:space="preserve">3) формирование государственным партнером тендерной комиссии. Тендерная комиссия формируется по каждому проекту ГЧП. Состав тендерной комиссии формируется и утверждается государственным партнером. Количество членов тендерной комиссии должно быть нечетным и составлять не менее пяти человек. В состав тендерной комиссии входят представитель уполномоченного государственного органа, специалист, обладающий опытом и знаниями по соответствующему инфраструктурному объекту, специалист в области экономики или финансов, специалист в области юриспруденции, представитель местного сообщества, на которое проект ГЧП будет оказывать непосредственное влияние.</w:t>
      </w:r>
    </w:p>
    <w:p>
      <w:pPr>
        <w:spacing w:after="120"/>
        <w:jc w:val="both"/>
      </w:pPr>
      <w:r>
        <w:rPr>
          <w:rFonts w:ascii="Arial" w:cs="Arial" w:eastAsia="Arial" w:hAnsi="Arial"/>
          <w:sz w:val="24"/>
          <w:szCs w:val="24"/>
        </w:rPr>
        <w:t xml:space="preserve">К членам тендерной комиссии могут предъявляться квалификационные требования, утверждаемые уполномоченным государственным органом. Члены тендерной комиссии не должны иметь конфликта интересов в отношении рассматриваемого проекта.</w:t>
      </w:r>
    </w:p>
    <w:p>
      <w:pPr>
        <w:spacing w:after="120"/>
        <w:jc w:val="both"/>
      </w:pPr>
      <w:r>
        <w:rPr>
          <w:rFonts w:ascii="Arial" w:cs="Arial" w:eastAsia="Arial" w:hAnsi="Arial"/>
          <w:sz w:val="24"/>
          <w:szCs w:val="24"/>
        </w:rPr>
        <w:t xml:space="preserve">Порядок формирования, утверждения, деятельности и полномочия тендерной комиссии регулируются настоящим Законом и иными нормативными правовыми актами в сфере ГЧП.</w:t>
      </w:r>
    </w:p>
    <w:p>
      <w:pPr>
        <w:spacing w:after="120"/>
        <w:jc w:val="both"/>
      </w:pPr>
      <w:r>
        <w:rPr>
          <w:rFonts w:ascii="Arial" w:cs="Arial" w:eastAsia="Arial" w:hAnsi="Arial"/>
          <w:sz w:val="24"/>
          <w:szCs w:val="24"/>
        </w:rPr>
        <w:t xml:space="preserve">2. Подготовка проекта ГЧП осуществляется государственным партнером, который имеет право привлекать независимых консультантов.</w:t>
      </w:r>
    </w:p>
    <w:p>
      <w:pPr>
        <w:spacing w:after="120"/>
        <w:jc w:val="both"/>
      </w:pPr>
      <w:r>
        <w:rPr>
          <w:rFonts w:ascii="Arial" w:cs="Arial" w:eastAsia="Arial" w:hAnsi="Arial"/>
          <w:sz w:val="24"/>
          <w:szCs w:val="24"/>
        </w:rPr>
        <w:t xml:space="preserve">3. При реализация проекта ГЧП на стратегических объектах государственный партнер также руководствуется законодательством Кыргызской Республики о стратегических объектах.</w:t>
      </w:r>
    </w:p>
    <w:p>
      <w:pPr>
        <w:spacing w:after="120"/>
        <w:jc w:val="both"/>
      </w:pPr>
      <w:r>
        <w:rPr>
          <w:rFonts w:ascii="Arial" w:cs="Arial" w:eastAsia="Arial" w:hAnsi="Arial"/>
          <w:sz w:val="24"/>
          <w:szCs w:val="24"/>
        </w:rPr>
        <w:t xml:space="preserve">4. После завершения всех необходимых процедур, установленных настоящей статьей, государственный партнер переходит к стадии отбора частного партнера.</w:t>
      </w:r>
    </w:p>
    <w:p>
      <w:pPr>
        <w:spacing w:after="120"/>
        <w:jc w:val="both"/>
      </w:pPr>
      <w:r>
        <w:rPr>
          <w:rFonts w:ascii="Arial" w:cs="Arial" w:eastAsia="Arial" w:hAnsi="Arial"/>
          <w:sz w:val="24"/>
          <w:szCs w:val="24"/>
        </w:rPr>
        <w:t xml:space="preserve">Статья 18. Отбор частного партнера и проведение тендера</w:t>
      </w:r>
    </w:p>
    <w:p>
      <w:pPr>
        <w:spacing w:after="120"/>
        <w:jc w:val="both"/>
      </w:pPr>
      <w:r>
        <w:rPr>
          <w:rFonts w:ascii="Arial" w:cs="Arial" w:eastAsia="Arial" w:hAnsi="Arial"/>
          <w:sz w:val="24"/>
          <w:szCs w:val="24"/>
        </w:rPr>
        <w:t xml:space="preserve">1. Отбор частного партнера осуществляется путем проведения тендера. Тендер включает три стадии:</w:t>
      </w:r>
    </w:p>
    <w:p>
      <w:pPr>
        <w:spacing w:after="120"/>
        <w:jc w:val="both"/>
      </w:pPr>
      <w:r>
        <w:rPr>
          <w:rFonts w:ascii="Arial" w:cs="Arial" w:eastAsia="Arial" w:hAnsi="Arial"/>
          <w:sz w:val="24"/>
          <w:szCs w:val="24"/>
        </w:rPr>
        <w:t xml:space="preserve">1) предварительный отбор;</w:t>
      </w:r>
    </w:p>
    <w:p>
      <w:pPr>
        <w:spacing w:after="120"/>
        <w:jc w:val="both"/>
      </w:pPr>
      <w:r>
        <w:rPr>
          <w:rFonts w:ascii="Arial" w:cs="Arial" w:eastAsia="Arial" w:hAnsi="Arial"/>
          <w:sz w:val="24"/>
          <w:szCs w:val="24"/>
        </w:rPr>
        <w:t xml:space="preserve">2) отбор победителя;</w:t>
      </w:r>
    </w:p>
    <w:p>
      <w:pPr>
        <w:spacing w:after="120"/>
        <w:jc w:val="both"/>
      </w:pPr>
      <w:r>
        <w:rPr>
          <w:rFonts w:ascii="Arial" w:cs="Arial" w:eastAsia="Arial" w:hAnsi="Arial"/>
          <w:sz w:val="24"/>
          <w:szCs w:val="24"/>
        </w:rPr>
        <w:t xml:space="preserve">3) заключение соглашения о ГЧП.</w:t>
      </w:r>
    </w:p>
    <w:p>
      <w:pPr>
        <w:spacing w:after="120"/>
        <w:jc w:val="both"/>
      </w:pPr>
      <w:r>
        <w:rPr>
          <w:rFonts w:ascii="Arial" w:cs="Arial" w:eastAsia="Arial" w:hAnsi="Arial"/>
          <w:sz w:val="24"/>
          <w:szCs w:val="24"/>
        </w:rPr>
        <w:t xml:space="preserve">2. На стадии предварительного отбора тендерная комиссия публикует приглашение к участию в предварительном отборе в средствах массовой информации и на официальном веб-сайте уполномоченного государственного органа. Текст приглашения должен содержать требования предварительному отбору, позволяющие участникам тендера оценить свои технические и финансовые возможности для участия в тендере по реализации проекта ГЧП. Текст приглашения публикуется на государственном и официальном языках и, при необходимости, на иностранных языках, согласно решению государственного партнера. Тендерная комиссия обеспечивает открытый доступ к правилам проведения тендера и тендерной документации со дня опубликования приглашения. Сбор заявок на участие в предварительном отборе проводится в течение 30 календарных дней с даты публикации приглашения к участию в тендере.</w:t>
      </w:r>
    </w:p>
    <w:p>
      <w:pPr>
        <w:spacing w:after="120"/>
        <w:jc w:val="both"/>
      </w:pPr>
      <w:r>
        <w:rPr>
          <w:rFonts w:ascii="Arial" w:cs="Arial" w:eastAsia="Arial" w:hAnsi="Arial"/>
          <w:sz w:val="24"/>
          <w:szCs w:val="24"/>
        </w:rPr>
        <w:t xml:space="preserve">По истечении вышеуказанного срока, тендерная комиссия в течение 15 календарных дней оценивает квалификацию каждого участника тендера, участвующего в предварительном отборе. По результатам проведения оценки тендерная комиссия направляет приглашение к участию в отборе победителя тендера участникам тендера, прошедшим предварительный отбор. Количество участников, прошедших предварительный отбор, должно быть не менее двух. В ином случае тендер должен быть признан несостоявшимся.</w:t>
      </w:r>
    </w:p>
    <w:p>
      <w:pPr>
        <w:spacing w:after="120"/>
        <w:jc w:val="both"/>
      </w:pPr>
      <w:r>
        <w:rPr>
          <w:rFonts w:ascii="Arial" w:cs="Arial" w:eastAsia="Arial" w:hAnsi="Arial"/>
          <w:sz w:val="24"/>
          <w:szCs w:val="24"/>
        </w:rPr>
        <w:t xml:space="preserve">На стадии предварительного отбора, учитывая полученную информацию, допускается пересмотр тендерной документации и минимальных требований к проекту ГЧП.</w:t>
      </w:r>
    </w:p>
    <w:p>
      <w:pPr>
        <w:spacing w:after="120"/>
        <w:jc w:val="both"/>
      </w:pPr>
      <w:r>
        <w:rPr>
          <w:rFonts w:ascii="Arial" w:cs="Arial" w:eastAsia="Arial" w:hAnsi="Arial"/>
          <w:sz w:val="24"/>
          <w:szCs w:val="24"/>
        </w:rPr>
        <w:t xml:space="preserve">3. На стадии отбора победителя тендерная комиссия предоставляет тендерную документацию участникам тендера, прошедшим предварительный отбор.</w:t>
      </w:r>
    </w:p>
    <w:p>
      <w:pPr>
        <w:spacing w:after="120"/>
        <w:jc w:val="both"/>
      </w:pPr>
      <w:r>
        <w:rPr>
          <w:rFonts w:ascii="Arial" w:cs="Arial" w:eastAsia="Arial" w:hAnsi="Arial"/>
          <w:sz w:val="24"/>
          <w:szCs w:val="24"/>
        </w:rPr>
        <w:t xml:space="preserve">Тендерная комиссия имеет право проводить переговоры и встречи с участниками тендера, прошедшими предварительный отбор, для обсуждения и определения наиболее подходящего для государственного партнера пути реализации проекта ГЧП. Во время этих переговоров тендерная комиссия должна обеспечить равные условия для всех участников тендера, прошедших предварительный отбор, с целью недопущения дискриминации и предоставления преимущества одним участникам тендера над другими.</w:t>
      </w:r>
    </w:p>
    <w:p>
      <w:pPr>
        <w:spacing w:after="120"/>
        <w:jc w:val="both"/>
      </w:pPr>
      <w:r>
        <w:rPr>
          <w:rFonts w:ascii="Arial" w:cs="Arial" w:eastAsia="Arial" w:hAnsi="Arial"/>
          <w:sz w:val="24"/>
          <w:szCs w:val="24"/>
        </w:rPr>
        <w:t xml:space="preserve">Измененная тендерная документация должна быть доведена до сведения всех участников тендера, прошедших предварительный отбор, только после ее утверждения тендерной комиссией. Все изменения в тендерной документации подлежат утверждению государственным органом по управлению рисками.</w:t>
      </w:r>
    </w:p>
    <w:p>
      <w:pPr>
        <w:spacing w:after="120"/>
        <w:jc w:val="both"/>
      </w:pPr>
      <w:r>
        <w:rPr>
          <w:rFonts w:ascii="Arial" w:cs="Arial" w:eastAsia="Arial" w:hAnsi="Arial"/>
          <w:sz w:val="24"/>
          <w:szCs w:val="24"/>
        </w:rPr>
        <w:t xml:space="preserve">Участники тендера, прошедшие предварительный отбор, должны представить свои тендерные предложения в сроки, устанавливаемые тендерной комиссией, с учетом сложности проекта ГЧП. Срок предоставления тендерных предложений не может составлять менее 30 календарных дней с момента получения приглашения к участию в отборе победителя тендера.</w:t>
      </w:r>
    </w:p>
    <w:p>
      <w:pPr>
        <w:spacing w:after="120"/>
        <w:jc w:val="both"/>
      </w:pPr>
      <w:r>
        <w:rPr>
          <w:rFonts w:ascii="Arial" w:cs="Arial" w:eastAsia="Arial" w:hAnsi="Arial"/>
          <w:sz w:val="24"/>
          <w:szCs w:val="24"/>
        </w:rPr>
        <w:t xml:space="preserve">Тендерная комиссия проводит оценку тендерных предложений участников тендера в сроки, указанные в тендерной документации, но не позднее 60 календарных дней с даты поступления последнего предложения. Тендерные предложения оцениваются в два этапа:</w:t>
      </w:r>
    </w:p>
    <w:p>
      <w:pPr>
        <w:spacing w:after="120"/>
        <w:jc w:val="both"/>
      </w:pPr>
      <w:r>
        <w:rPr>
          <w:rFonts w:ascii="Arial" w:cs="Arial" w:eastAsia="Arial" w:hAnsi="Arial"/>
          <w:sz w:val="24"/>
          <w:szCs w:val="24"/>
        </w:rPr>
        <w:t xml:space="preserve">- на первом этапе тендерная комиссия оценивает соответствие тендерных предложений участников тендера минимальным требованиям, предъявляемым к проекту. Не соответствующие указанным требованиям тендерные предложения подлежат отклонению;</w:t>
      </w:r>
    </w:p>
    <w:p>
      <w:pPr>
        <w:spacing w:after="120"/>
        <w:jc w:val="both"/>
      </w:pPr>
      <w:r>
        <w:rPr>
          <w:rFonts w:ascii="Arial" w:cs="Arial" w:eastAsia="Arial" w:hAnsi="Arial"/>
          <w:sz w:val="24"/>
          <w:szCs w:val="24"/>
        </w:rPr>
        <w:t xml:space="preserve">- на втором этапе тендерные предложения должны быть оценены на соответствие социальным и финансово-экономическим критериям, устанавливаемым в тендерной документации.</w:t>
      </w:r>
    </w:p>
    <w:p>
      <w:pPr>
        <w:spacing w:after="120"/>
        <w:jc w:val="both"/>
      </w:pPr>
      <w:r>
        <w:rPr>
          <w:rFonts w:ascii="Arial" w:cs="Arial" w:eastAsia="Arial" w:hAnsi="Arial"/>
          <w:sz w:val="24"/>
          <w:szCs w:val="24"/>
        </w:rPr>
        <w:t xml:space="preserve">Тендерная комиссия публично объявляет победителя тендера в соответствии с основными положениями проекта соглашения о ГЧП в средствах массовой информации, в течение 5 рабочих дней после принятия тендерной комиссией решения о выборе победителя тендера.</w:t>
      </w:r>
    </w:p>
    <w:p>
      <w:pPr>
        <w:spacing w:after="120"/>
        <w:jc w:val="both"/>
      </w:pPr>
      <w:r>
        <w:rPr>
          <w:rFonts w:ascii="Arial" w:cs="Arial" w:eastAsia="Arial" w:hAnsi="Arial"/>
          <w:sz w:val="24"/>
          <w:szCs w:val="24"/>
        </w:rPr>
        <w:t xml:space="preserve">Проигравшие участники тендера вправе требовать разъяснений о причинах отказа от их тендерных предложений, путем подачи письменных заявлений. Государственный партнер по требованию частного партнера должен в течение трех рабочих дней информировать его о причинах отказа.</w:t>
      </w:r>
    </w:p>
    <w:p>
      <w:pPr>
        <w:spacing w:after="120"/>
        <w:jc w:val="both"/>
      </w:pPr>
      <w:r>
        <w:rPr>
          <w:rFonts w:ascii="Arial" w:cs="Arial" w:eastAsia="Arial" w:hAnsi="Arial"/>
          <w:sz w:val="24"/>
          <w:szCs w:val="24"/>
        </w:rPr>
        <w:t xml:space="preserve">Все документы и информация, предоставляемые тендерной комиссии участниками тендера, являются конфиденциальными. Членам тендерной комиссии запрещается передача полученных документов (их копий) или информации третьим лицам, включая других участников тендера, или использование данных документов (их копий) или информации в иных целях, чем оценка предложений, полученных в ходе проведения тендера.</w:t>
      </w:r>
    </w:p>
    <w:p>
      <w:pPr>
        <w:spacing w:after="120"/>
        <w:jc w:val="both"/>
      </w:pPr>
      <w:r>
        <w:rPr>
          <w:rFonts w:ascii="Arial" w:cs="Arial" w:eastAsia="Arial" w:hAnsi="Arial"/>
          <w:sz w:val="24"/>
          <w:szCs w:val="24"/>
        </w:rPr>
        <w:t xml:space="preserve">Порядок подготовки тендерной документации регулируется настоящим Законом и другими нормативными правовыми актами в сфере ГЧП.</w:t>
      </w:r>
    </w:p>
    <w:p>
      <w:pPr>
        <w:spacing w:after="120"/>
        <w:jc w:val="both"/>
      </w:pPr>
      <w:r>
        <w:rPr>
          <w:rFonts w:ascii="Arial" w:cs="Arial" w:eastAsia="Arial" w:hAnsi="Arial"/>
          <w:sz w:val="24"/>
          <w:szCs w:val="24"/>
        </w:rPr>
        <w:t xml:space="preserve">4. Соглашение о ГЧП должно быть заключено в течение 60 календарных дней с даты публикации объявления о победителе тендера в средствах массовой информации.</w:t>
      </w:r>
    </w:p>
    <w:p>
      <w:pPr>
        <w:spacing w:after="120"/>
        <w:jc w:val="both"/>
      </w:pPr>
      <w:r>
        <w:rPr>
          <w:rFonts w:ascii="Arial" w:cs="Arial" w:eastAsia="Arial" w:hAnsi="Arial"/>
          <w:sz w:val="24"/>
          <w:szCs w:val="24"/>
        </w:rPr>
        <w:t xml:space="preserve">Если иное не будет оговорено в соглашении о ГЧП, для завершения оформления договоренности с финансовым учреждением о финансировании проекта ГЧП частному партнеру должно быть предоставлено не менее 120 календарных дней с даты публикации объявления о победителе тендера в средствах массовой информации.</w:t>
      </w:r>
    </w:p>
    <w:p>
      <w:pPr>
        <w:spacing w:after="120"/>
        <w:jc w:val="both"/>
      </w:pPr>
      <w:r>
        <w:rPr>
          <w:rFonts w:ascii="Arial" w:cs="Arial" w:eastAsia="Arial" w:hAnsi="Arial"/>
          <w:sz w:val="24"/>
          <w:szCs w:val="24"/>
        </w:rPr>
        <w:t xml:space="preserve">Если по истечении срока, предусмотренного абзацем первым настоящей части, победитель тендера не подпишет соглашение о ГЧП, тендерная комиссия вправе принять решение о дисквалификации победителя тендера и назначить победителем тендера участника тендера, занявшего по итогам тендера следующее за победителем место.</w:t>
      </w:r>
    </w:p>
    <w:p>
      <w:pPr>
        <w:spacing w:after="120"/>
        <w:jc w:val="both"/>
      </w:pPr>
      <w:r>
        <w:rPr>
          <w:rFonts w:ascii="Arial" w:cs="Arial" w:eastAsia="Arial" w:hAnsi="Arial"/>
          <w:sz w:val="24"/>
          <w:szCs w:val="24"/>
        </w:rPr>
        <w:t xml:space="preserve">В случае объявления тендерной комиссией победителя тендера, государственный партнер не вправе в одностороннем порядке отказаться от заключения соглашения о ГЧП, а тендерная комиссия не вправе отменить результаты проведения тендера, за исключением случая выявления тендерной комиссией несоответствия действительности предоставленной заявителем информации, подтвержденной документально.</w:t>
      </w:r>
    </w:p>
    <w:p>
      <w:pPr>
        <w:spacing w:after="120"/>
        <w:jc w:val="both"/>
      </w:pPr>
      <w:r>
        <w:rPr>
          <w:rFonts w:ascii="Arial" w:cs="Arial" w:eastAsia="Arial" w:hAnsi="Arial"/>
          <w:sz w:val="24"/>
          <w:szCs w:val="24"/>
        </w:rPr>
        <w:t xml:space="preserve">Статья 19. Мониторинг и оценка реализации проекта ГЧП</w:t>
      </w:r>
    </w:p>
    <w:p>
      <w:pPr>
        <w:spacing w:after="120"/>
        <w:jc w:val="both"/>
      </w:pPr>
      <w:r>
        <w:rPr>
          <w:rFonts w:ascii="Arial" w:cs="Arial" w:eastAsia="Arial" w:hAnsi="Arial"/>
          <w:sz w:val="24"/>
          <w:szCs w:val="24"/>
        </w:rPr>
        <w:t xml:space="preserve">1. Реализация проекта ГЧП включает в себя мониторинг и оценку проекта ГЧП, осуществляемые государственным партнером. Уполномоченный государственный орган и государственный орган по управлению рисками также осуществляют мониторинг и оценку реализации проекта ГЧП.</w:t>
      </w:r>
    </w:p>
    <w:p>
      <w:pPr>
        <w:spacing w:after="120"/>
        <w:jc w:val="both"/>
      </w:pPr>
      <w:r>
        <w:rPr>
          <w:rFonts w:ascii="Arial" w:cs="Arial" w:eastAsia="Arial" w:hAnsi="Arial"/>
          <w:sz w:val="24"/>
          <w:szCs w:val="24"/>
        </w:rPr>
        <w:t xml:space="preserve">2. Ежегодно, не позднее 1 мая текущего года, частный партнер или проектная компания обязаны предоставлять государственному партнеру, уполномоченному государственному органу и государственному органу по управлению рисками отчет о выполнении проекта ГЧП и финансовый отчет за предыдущий год. Ежегодный отчет о выполнении проекта ГЧП, если он предоставляется проектной компанией, должен быть предварительно подтвержден частным партнером. Ежегодный финансовый отчет должен быть предварительно подтвержден независимым аудитором.</w:t>
      </w:r>
    </w:p>
    <w:p>
      <w:pPr>
        <w:spacing w:after="120"/>
        <w:jc w:val="both"/>
      </w:pPr>
      <w:r>
        <w:rPr>
          <w:rFonts w:ascii="Arial" w:cs="Arial" w:eastAsia="Arial" w:hAnsi="Arial"/>
          <w:sz w:val="24"/>
          <w:szCs w:val="24"/>
        </w:rPr>
        <w:t xml:space="preserve">3. Порядок мониторинга и оценки регулируется настоящим Законом, нормативными правовыми актами в сфере ГЧП и соглашением о ГЧП.</w:t>
      </w:r>
    </w:p>
    <w:p>
      <w:pPr>
        <w:spacing w:after="120"/>
        <w:jc w:val="both"/>
      </w:pPr>
      <w:r>
        <w:rPr>
          <w:rFonts w:ascii="Arial" w:cs="Arial" w:eastAsia="Arial" w:hAnsi="Arial"/>
          <w:sz w:val="24"/>
          <w:szCs w:val="24"/>
        </w:rPr>
        <w:t xml:space="preserve">Статья 20. Инициирование проекта ГЧП частным партнером</w:t>
      </w:r>
    </w:p>
    <w:p>
      <w:pPr>
        <w:spacing w:after="120"/>
        <w:jc w:val="both"/>
      </w:pPr>
      <w:r>
        <w:rPr>
          <w:rFonts w:ascii="Arial" w:cs="Arial" w:eastAsia="Arial" w:hAnsi="Arial"/>
          <w:sz w:val="24"/>
          <w:szCs w:val="24"/>
        </w:rPr>
        <w:t xml:space="preserve">1. Частные партнеры вправе обратиться к государственному партнеру с предложением об инициировании проекта ГЧП. К предложению должны быть приложены обоснование целесообразности применения ГЧП к выбранному проекту, основные условия соглашения о ГЧП, информация о примерной сумме затрат и вложений. Дополнительно к названным документам частный партнер вправе предоставить иные документы, имеющие отношение к инициируемому проекту ГЧП.</w:t>
      </w:r>
    </w:p>
    <w:p>
      <w:pPr>
        <w:spacing w:after="120"/>
        <w:jc w:val="both"/>
      </w:pPr>
      <w:r>
        <w:rPr>
          <w:rFonts w:ascii="Arial" w:cs="Arial" w:eastAsia="Arial" w:hAnsi="Arial"/>
          <w:sz w:val="24"/>
          <w:szCs w:val="24"/>
        </w:rPr>
        <w:t xml:space="preserve">Государственный партнер уведомляет уполномоченный государственный орган и государственный орган по управлению рисками о предложении частного партнера об инициировании проекта ГЧП.</w:t>
      </w:r>
    </w:p>
    <w:p>
      <w:pPr>
        <w:spacing w:after="120"/>
        <w:jc w:val="both"/>
      </w:pPr>
      <w:r>
        <w:rPr>
          <w:rFonts w:ascii="Arial" w:cs="Arial" w:eastAsia="Arial" w:hAnsi="Arial"/>
          <w:sz w:val="24"/>
          <w:szCs w:val="24"/>
        </w:rPr>
        <w:t xml:space="preserve">2. Государственный партнер обязан принять либо отклонить такое предложение в течение 30 календарных дней, если он не запросит дополнительную информацию в течение этого периода в соответствии с частью 3 настоящей статьи.</w:t>
      </w:r>
    </w:p>
    <w:p>
      <w:pPr>
        <w:spacing w:after="120"/>
        <w:jc w:val="both"/>
      </w:pPr>
      <w:r>
        <w:rPr>
          <w:rFonts w:ascii="Arial" w:cs="Arial" w:eastAsia="Arial" w:hAnsi="Arial"/>
          <w:sz w:val="24"/>
          <w:szCs w:val="24"/>
        </w:rPr>
        <w:t xml:space="preserve">3. Государственный партнер имеет право запросить дополнительную информацию один раз. Данный запрос должен сопровождаться объяснением причин. Частный партнер обязан предоставить запрашиваемую информацию в течение 10 календарных дней с момента получения запроса. В случае запроса государственным партнером дополнительной информации срок принятия решения о принятии или отклонении предложения составляет 30 календарных дней после получения дополнительной информации от частного партнера. В случае непредставления дополнительной информации от частного партнера в течение вышеуказанного срока, решение о принятии или отклонении предложения принимается в течение 30 календарных дней, следующих после истечения срока предоставления дополнительной информации.</w:t>
      </w:r>
    </w:p>
    <w:p>
      <w:pPr>
        <w:spacing w:after="120"/>
        <w:jc w:val="both"/>
      </w:pPr>
      <w:r>
        <w:rPr>
          <w:rFonts w:ascii="Arial" w:cs="Arial" w:eastAsia="Arial" w:hAnsi="Arial"/>
          <w:sz w:val="24"/>
          <w:szCs w:val="24"/>
        </w:rPr>
        <w:t xml:space="preserve">4. В случае отклонения предложения государственный партнер должен уведомить частного партнера об этом с обоснованием причин, а также одновременно возвратить частному партнеру все оригиналы и копии документов, которые были ранее им предоставлены, без возмещения расходов, понесенных частным партнером.</w:t>
      </w:r>
    </w:p>
    <w:p>
      <w:pPr>
        <w:spacing w:after="120"/>
        <w:jc w:val="both"/>
      </w:pPr>
      <w:r>
        <w:rPr>
          <w:rFonts w:ascii="Arial" w:cs="Arial" w:eastAsia="Arial" w:hAnsi="Arial"/>
          <w:sz w:val="24"/>
          <w:szCs w:val="24"/>
        </w:rPr>
        <w:t xml:space="preserve">5. В случае согласия государственного партнера с предложением частного партнера об инициировании проекта ГЧП, проект ГЧП подлежит дальнейшему продвижению в порядке, предусмотренном настоящим Законом.</w:t>
      </w:r>
    </w:p>
    <w:p>
      <w:pPr>
        <w:spacing w:after="120"/>
        <w:jc w:val="both"/>
      </w:pPr>
      <w:r>
        <w:rPr>
          <w:rFonts w:ascii="Arial" w:cs="Arial" w:eastAsia="Arial" w:hAnsi="Arial"/>
          <w:sz w:val="24"/>
          <w:szCs w:val="24"/>
        </w:rPr>
        <w:t xml:space="preserve">6. В случае если ни один частный партнер не выигрывает тендер или тендер признается несостоявшимся, все понесенные частным партнером расходы не подлежат возмещению.</w:t>
      </w:r>
    </w:p>
    <w:p>
      <w:pPr>
        <w:spacing w:after="120"/>
        <w:jc w:val="both"/>
      </w:pPr>
      <w:r>
        <w:rPr>
          <w:rFonts w:ascii="Arial" w:cs="Arial" w:eastAsia="Arial" w:hAnsi="Arial"/>
          <w:sz w:val="24"/>
          <w:szCs w:val="24"/>
        </w:rPr>
        <w:t xml:space="preserve">7. Все документы и информация, предоставляемые частным партнером, инициирующим проект ГЧП, государственному партнеру, кроме тех, которые могут потребоваться для подготовки тендерной документации, являются конфиденциальными и должны быть использованы только в целях оценки предложения частного партнера об инициировании проекта ГЧП, если государственный и частный партнеры не договорятся об ином.".</w:t>
      </w:r>
    </w:p>
    <w:p>
      <w:pPr>
        <w:spacing w:after="120"/>
        <w:jc w:val="both"/>
      </w:pPr>
      <w:r>
        <w:rPr>
          <w:rFonts w:ascii="Arial" w:cs="Arial" w:eastAsia="Arial" w:hAnsi="Arial"/>
          <w:sz w:val="24"/>
          <w:szCs w:val="24"/>
        </w:rPr>
        <w:t xml:space="preserve">8. Абзац пятнадцатый статьи 22 признать утратившим силу.</w:t>
      </w:r>
    </w:p>
    <w:p>
      <w:pPr>
        <w:spacing w:after="120"/>
        <w:jc w:val="both"/>
      </w:pPr>
      <w:r>
        <w:rPr>
          <w:rFonts w:ascii="Arial" w:cs="Arial" w:eastAsia="Arial" w:hAnsi="Arial"/>
          <w:sz w:val="24"/>
          <w:szCs w:val="24"/>
        </w:rPr>
        <w:t xml:space="preserve">9. Статью 23 изложить в следующей редакции:</w:t>
      </w:r>
    </w:p>
    <w:p>
      <w:pPr>
        <w:spacing w:after="120"/>
        <w:jc w:val="both"/>
      </w:pPr>
      <w:r>
        <w:rPr>
          <w:rFonts w:ascii="Arial" w:cs="Arial" w:eastAsia="Arial" w:hAnsi="Arial"/>
          <w:sz w:val="24"/>
          <w:szCs w:val="24"/>
        </w:rPr>
        <w:t xml:space="preserve">"Статья 23. Другие положения соглашения</w:t>
      </w:r>
    </w:p>
    <w:p>
      <w:pPr>
        <w:spacing w:after="120"/>
        <w:jc w:val="both"/>
      </w:pPr>
      <w:r>
        <w:rPr>
          <w:rFonts w:ascii="Arial" w:cs="Arial" w:eastAsia="Arial" w:hAnsi="Arial"/>
          <w:sz w:val="24"/>
          <w:szCs w:val="24"/>
        </w:rPr>
        <w:t xml:space="preserve">Для получения финансирования по проекту ГЧП государственный партнер имеет право заключить прямое соглашение с финансовыми учреждениями.</w:t>
      </w:r>
    </w:p>
    <w:p>
      <w:pPr>
        <w:spacing w:after="120"/>
        <w:jc w:val="both"/>
      </w:pPr>
      <w:r>
        <w:rPr>
          <w:rFonts w:ascii="Arial" w:cs="Arial" w:eastAsia="Arial" w:hAnsi="Arial"/>
          <w:sz w:val="24"/>
          <w:szCs w:val="24"/>
        </w:rPr>
        <w:t xml:space="preserve">В дополнение к обязательным положениям, оговоренным в статье 22 настоящего Закона, соглашение о ГЧП может содержать другие положения, не противоречащие законодательству Кыргызской Республики.".</w:t>
      </w:r>
    </w:p>
    <w:p>
      <w:pPr>
        <w:spacing w:after="120"/>
        <w:jc w:val="both"/>
      </w:pPr>
      <w:r>
        <w:rPr>
          <w:rFonts w:ascii="Arial" w:cs="Arial" w:eastAsia="Arial" w:hAnsi="Arial"/>
          <w:sz w:val="24"/>
          <w:szCs w:val="24"/>
        </w:rPr>
        <w:t xml:space="preserve">10. Статью 24 признать утратившей силу.</w:t>
      </w:r>
    </w:p>
    <w:p>
      <w:pPr>
        <w:spacing w:after="120"/>
        <w:jc w:val="both"/>
      </w:pPr>
      <w:r>
        <w:rPr>
          <w:rFonts w:ascii="Arial" w:cs="Arial" w:eastAsia="Arial" w:hAnsi="Arial"/>
          <w:sz w:val="24"/>
          <w:szCs w:val="24"/>
        </w:rPr>
        <w:t xml:space="preserve">11. Абзац пятый статьи 27 признать утратившим силу.</w:t>
      </w:r>
    </w:p>
    <w:p>
      <w:pPr>
        <w:spacing w:after="120"/>
        <w:jc w:val="both"/>
      </w:pPr>
      <w:r>
        <w:rPr>
          <w:rFonts w:ascii="Arial" w:cs="Arial" w:eastAsia="Arial" w:hAnsi="Arial"/>
          <w:sz w:val="24"/>
          <w:szCs w:val="24"/>
        </w:rPr>
        <w:t xml:space="preserve">12. В части 3 статьи 29 слова "производятся с" заменить словами "не могут производиться без".</w:t>
      </w:r>
    </w:p>
    <w:p>
      <w:pPr>
        <w:spacing w:after="120"/>
        <w:jc w:val="both"/>
      </w:pPr>
      <w:r>
        <w:rPr>
          <w:rFonts w:ascii="Arial" w:cs="Arial" w:eastAsia="Arial" w:hAnsi="Arial"/>
          <w:sz w:val="24"/>
          <w:szCs w:val="24"/>
        </w:rPr>
        <w:t xml:space="preserve">13. В части 3 статьи 30 слова "может быть" заменить словами "не может быть".</w:t>
      </w:r>
    </w:p>
    <w:p>
      <w:pPr>
        <w:spacing w:after="120"/>
        <w:jc w:val="both"/>
      </w:pPr>
      <w:r>
        <w:rPr>
          <w:rFonts w:ascii="Arial" w:cs="Arial" w:eastAsia="Arial" w:hAnsi="Arial"/>
          <w:sz w:val="24"/>
          <w:szCs w:val="24"/>
        </w:rPr>
        <w:t xml:space="preserve">14. Статью 32 признать утратившей силу.</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Органам местного самоуправления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cokp0ykadd_q526haqvh">
      <w:r>
        <w:rPr>
          <w:rFonts w:ascii="Arial" w:cs="Arial" w:eastAsia="Arial" w:hAnsi="Arial"/>
          <w:color w:val="132D3F"/>
          <w:sz w:val="16"/>
          <w:szCs w:val="16"/>
          <w:u w:val="single"/>
        </w:rPr>
        <w:t xml:space="preserve">dalil.kg/document/97732</w:t>
      </w:r>
    </w:hyperlink>
  </w:p>
  <w:p>
    <w:pPr>
      <w:spacing w:after="0" w:before="40"/>
      <w:jc w:val="center"/>
    </w:pPr>
    <w:hyperlink w:history="1" r:id="rIdmeokr0q4a7e4iybyzug8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oswyoglqkfq296zse0rg" Type="http://schemas.openxmlformats.org/officeDocument/2006/relationships/hyperlink" Target="https://dalil.kg/document/159126" TargetMode="External"/><Relationship Id="rIdznl1-ekn9uexesno2h9o3" Type="http://schemas.openxmlformats.org/officeDocument/2006/relationships/hyperlink" Target="https://dalil.kg/document/202913" TargetMode="External"/><Relationship Id="rIdlhtq1pgpovfr--ixppclb" Type="http://schemas.openxmlformats.org/officeDocument/2006/relationships/hyperlink" Target="https://dalil.kg/document/97732#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cokp0ykadd_q526haqvh" Type="http://schemas.openxmlformats.org/officeDocument/2006/relationships/hyperlink" Target="https://dalil.kg/document/97732" TargetMode="External"/><Relationship Id="rIdmeokr0q4a7e4iybyzug8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2026-09-24T06:19:50.757Z</dcterms:created>
  <dcterms:modified xsi:type="dcterms:W3CDTF">2026-09-24T06:19:50.757Z</dcterms:modified>
</cp:coreProperties>
</file>

<file path=docProps/custom.xml><?xml version="1.0" encoding="utf-8"?>
<Properties xmlns="http://schemas.openxmlformats.org/officeDocument/2006/custom-properties" xmlns:vt="http://schemas.openxmlformats.org/officeDocument/2006/docPropsVTypes"/>
</file>