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qph91fnir3ic8a4shok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2015 года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условий переработки давальческого сырья (товаров) и порядка представления обязательства о ввозе (вывозе) продуктов переработки и его исполнения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статьи 282-12 </w:t>
      </w:r>
      <w:hyperlink w:history="1" r:id="rIdeku4oove0tqui5zb9mo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присоединение Кыргызской Республики к Договору о Евразийском экономическом союзе от 29 мая 2014 года,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переработки давальческого сырья (товаров) в Кыргызской Республике согласно </w:t>
      </w:r>
      <w:hyperlink w:history="1" r:id="rIdm-n2sad6sztz5ocoany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1flg-kfq0psnmvjwet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 обязательства о ввозе (вывозе) продуктов переработки и его исполнения в Кыргызской Республике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
 переработки давальческого сырья (товаров)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Условия разработаны в соответствии со статьей 282-12 </w:t>
      </w:r>
      <w:hyperlink w:history="1" r:id="rId5ucwm1lzreeoyyd4mz4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определяют условия переработки давальческого сырья (товаров), импортируемого на территорию Кыргызской Республики с территории государств-членов Евразийского экономического союза, предназначенного для промышленной переработки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Условиях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промышленная переработка</w:t>
      </w:r>
      <w:r>
        <w:rPr>
          <w:rFonts w:ascii="Arial" w:cs="Arial" w:eastAsia="Arial" w:hAnsi="Arial"/>
          <w:sz w:val="24"/>
          <w:szCs w:val="24"/>
        </w:rPr>
        <w:t xml:space="preserve"> - использование товаров (сырья и (или) материалов) в производстве для получения новых товаров, классификационный код которых по единой Товарной номенклатуре внешнеэкономической деятельности Евразийского экономического союза (далее - ТН ВЭД ЕАЭС) отличается от кода товаров, ввозимых для промышленной переработки, на уровне любого из первых четырех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налогоплательщик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зарегистрированный на территории Кыргызской Республики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проводящий государственную политику по развитию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Переработка давальческого сырья подтверждается заключением уполномоченного государственного органа об условиях переработки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Заключение об условиях переработки товаров выносится уполномоченным государственным органом при представлении налогоплательщиком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заключения об условиях переработки (в произвольной форме);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документа, подтверждающего совершение сделки (контракт, договор), приложения и (или) дополнения к нему, заверенные печатью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документа, подтверждающего наименование и классификацию товаров и продуктов их промышленной переработки в соответствии с ТН ВЭД ЕАЭС на уровне десяти знаков, заверенная печатью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таблица расчета норм выхода продуктов промышленной переработки, включая операции по промышленной переработке товаров (основанных на технологическом процессе), способы их совершенствования, способы идентификации товаров, а также сроков промышленной переработки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регистрационного документа о налоговой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налогового органа об отсутствии признанной налогоплательщиком налоговой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Представленные документы рассматриваются уполномоченным государственным органом в течение пятнадцати календарных дней. По итогам рассмотрения выносится соответствующее (положительное или отрицательное) заключение об условиях переработки товаров по форме, утверждаемой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Отрицательное заключение об условиях переработки товаров выносится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наличия недостоверных сведений в документах, представленных заявителем для получения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представления неполного пакета документов, предусмотренных пунктом 3 настоящих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Заключение об условиях переработки товаров направляется налогоплательщику следующими способами: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почте с обратным уведомлением и доставляется по последнему адресу осуществления налогоплательщиком экономической деятельности или по последнему его зарегистрированному адресу в Кыргызской Республике, или налоговому представителю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выдается налогоплательщику или его налоговому представителю в уполномоченном государственном органе лично под роспись.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vpnxhzx9j6hgxjzcs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dalil.kg/document/97802</w:t>
      </w:r>
    </w:hyperlink>
  </w:p>
  <w:p>
    <w:pPr>
      <w:spacing w:after="0" w:before="40"/>
      <w:jc w:val="center"/>
    </w:pPr>
    <w:hyperlink w:history="1" r:id="rIdjcor6uwpwfgixbeozce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h91fnir3ic8a4shokar" Type="http://schemas.openxmlformats.org/officeDocument/2006/relationships/hyperlink" Target="https://dalil.kg/document/158988" TargetMode="External"/><Relationship Id="rIdeku4oove0tqui5zb9mong" Type="http://schemas.openxmlformats.org/officeDocument/2006/relationships/hyperlink" Target="https://dalil.kg/document/202445" TargetMode="External"/><Relationship Id="rIdm-n2sad6sztz5ocoanysz" Type="http://schemas.openxmlformats.org/officeDocument/2006/relationships/hyperlink" Target="https://dalil.kg/document/97802#p1" TargetMode="External"/><Relationship Id="rIdl1flg-kfq0psnmvjwetah" Type="http://schemas.openxmlformats.org/officeDocument/2006/relationships/hyperlink" Target="https://dalil.kg/document/97803" TargetMode="External"/><Relationship Id="rId5ucwm1lzreeoyyd4mz4e6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vpnxhzx9j6hgxjzcsft" Type="http://schemas.openxmlformats.org/officeDocument/2006/relationships/hyperlink" Target="https://dalil.kg/document/97802" TargetMode="External"/><Relationship Id="rIdjcor6uwpwfgixbeozce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2026-09-23T18:56:37.311Z</dcterms:created>
  <dcterms:modified xsi:type="dcterms:W3CDTF">2026-09-23T18:56:37.311Z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