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nftgxosqc3-nfofl-t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Национального банка КР от 28 ноября 2018 года </w:t>
      </w:r>
      <w:r>
        <w:rPr>
          <w:rFonts w:ascii="Arial" w:cs="Arial" w:eastAsia="Arial" w:hAnsi="Arial"/>
          <w:sz w:val="24"/>
          <w:szCs w:val="24"/>
        </w:rPr>
        <w:t xml:space="preserve">N</w:t>
      </w:r>
      <w:r>
        <w:rPr>
          <w:rFonts w:ascii="Arial" w:cs="Arial" w:eastAsia="Arial" w:hAnsi="Arial"/>
          <w:sz w:val="24"/>
          <w:szCs w:val="24"/>
        </w:rPr>
        <w:t xml:space="preserve"> 560-50/4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августа 2015 года № 602/42/1</w:t>
      </w:r>
    </w:p>
    <w:p>
      <w:pPr>
        <w:spacing w:after="120"/>
        <w:jc w:val="both"/>
      </w:pPr>
      <w:r>
        <w:rPr>
          <w:rFonts w:ascii="Arial" w:cs="Arial" w:eastAsia="Arial" w:hAnsi="Arial"/>
          <w:sz w:val="24"/>
          <w:szCs w:val="24"/>
        </w:rPr>
        <w:t xml:space="preserve">О Плане мероприятий по реализации Меморандума по экономической и финансовой политике (МЭФП) на 2015-2018 годы</w:t>
      </w:r>
    </w:p>
    <w:p>
      <w:pPr>
        <w:spacing w:after="120"/>
        <w:jc w:val="both"/>
      </w:pPr>
      <w:r>
        <w:rPr>
          <w:rFonts w:ascii="Arial" w:cs="Arial" w:eastAsia="Arial" w:hAnsi="Arial"/>
          <w:sz w:val="24"/>
          <w:szCs w:val="24"/>
        </w:rPr>
        <w:t xml:space="preserve">В целях эффективной и своевременной реализации мер, предусмотренных Меморандумом по экономической и финансовой политике (МЭФП) на 2015-2018 годы, в соответствии со статьями 10 и 17 </w:t>
      </w:r>
      <w:hyperlink w:history="1" r:id="rIdi7gko2vvnjrkky3qgtd2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статьями 6 и 7 </w:t>
      </w:r>
      <w:hyperlink w:history="1" r:id="rIdsqii_d9x6jo0eehjvfoi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 План мероприятий по реализации Меморандума по экономической и финансовой политике (МЭФП) на 2015-2018 годы (далее - План мероприятий) согласно </w:t>
      </w:r>
      <w:hyperlink w:history="1" r:id="rId7yntueuztcdhoyf7ogce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 органам местного самоуправления (по согласованию), задействованным в реализации указанного Плана мероприятий:</w:t>
      </w:r>
    </w:p>
    <w:p>
      <w:pPr>
        <w:spacing w:after="120"/>
        <w:jc w:val="both"/>
      </w:pPr>
      <w:r>
        <w:rPr>
          <w:rFonts w:ascii="Arial" w:cs="Arial" w:eastAsia="Arial" w:hAnsi="Arial"/>
          <w:sz w:val="24"/>
          <w:szCs w:val="24"/>
        </w:rPr>
        <w:t xml:space="preserve">- обеспечить неукоснительное выполнение Плана мероприятий;</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периодом, представлять информацию о ходе выполнения Плана мероприятий в Министерство финансов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ежеквартально не позднее 25 числа месяца, следующего за отчетным периодом, представлять сводную информацию об исполнении Плана мероприятий в Аппарат Правительства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за качественное и своевременное выполнение Плана мероприятий.</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Н. Жениш</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ПЛАН МЕРОПРИЯТИЙ
 по реализации Меморандума по экономической и финансовой политике (МЭФП) на 2015-2018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4153"/>
        <w:gridCol w:w="2363"/>
        <w:gridCol w:w="323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мероприятий</w:t>
            </w:r>
          </w:p>
        </w:tc>
        <w:tc>
          <w:tcPr>
            <w:tcW w:type="dxa" w:w="23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 форма реализации</w:t>
            </w:r>
          </w:p>
        </w:tc>
        <w:tc>
          <w:tcPr>
            <w:tcW w:type="dxa" w:w="3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Макроэкономическая политика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реального прироста ВВП в среднем около 3,4 процента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местные государственные администрации, органы местного самоуправления (по согласованию)</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инфляции к концу 2017 года приблизительно до 6,0 процента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Налогово-бюджетная политика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превышения максимального уровня общего кассового дефицита сектора государственного управления согласно экономической программе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(количественный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Соцфонд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количественного показателя по минимальному уровню сбора налогов в государственный бюджет согласно экономической программе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(ориентировочный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в Жогорку Кенеш Кыргызской Республики проектов законов, направленных на:</w:t>
            </w:r>
          </w:p>
          <w:p>
            <w:pPr>
              <w:jc w:val="left"/>
            </w:pPr>
            <w:r>
              <w:rPr>
                <w:rFonts w:ascii="Arial" w:cs="Arial" w:eastAsia="Arial" w:hAnsi="Arial"/>
                <w:sz w:val="24"/>
                <w:szCs w:val="24"/>
              </w:rPr>
              <w:t xml:space="preserve">1) укрепление системы НДС посредством сокращения количества налоговых освобождений;</w:t>
            </w:r>
          </w:p>
          <w:p>
            <w:pPr>
              <w:jc w:val="left"/>
            </w:pPr>
            <w:r>
              <w:rPr>
                <w:rFonts w:ascii="Arial" w:cs="Arial" w:eastAsia="Arial" w:hAnsi="Arial"/>
                <w:sz w:val="24"/>
                <w:szCs w:val="24"/>
              </w:rPr>
              <w:t xml:space="preserve">2) постепенную отмену налога с продаж;</w:t>
            </w:r>
          </w:p>
          <w:p>
            <w:pPr>
              <w:jc w:val="left"/>
            </w:pPr>
            <w:r>
              <w:rPr>
                <w:rFonts w:ascii="Arial" w:cs="Arial" w:eastAsia="Arial" w:hAnsi="Arial"/>
                <w:sz w:val="24"/>
                <w:szCs w:val="24"/>
              </w:rPr>
              <w:t xml:space="preserve">3) поэтапное сокращение применения патентной системы;</w:t>
            </w:r>
          </w:p>
          <w:p>
            <w:pPr>
              <w:jc w:val="left"/>
            </w:pPr>
            <w:r>
              <w:rPr>
                <w:rFonts w:ascii="Arial" w:cs="Arial" w:eastAsia="Arial" w:hAnsi="Arial"/>
                <w:sz w:val="24"/>
                <w:szCs w:val="24"/>
              </w:rPr>
              <w:t xml:space="preserve">4) введение упрощенной системы учета и отчетности</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проекты законов о внесении изменений в Налоговый и Таможенный кодексы, постановления ПКР об одобрении проектов законов</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Воздержаться от возобновления налоговых освобождений и не вводить новые налоговые освобождения и льготные режимы налогообложения для отдельных секторов и видов деятельности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контроль</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налогового администрирования путем:</w:t>
            </w:r>
          </w:p>
          <w:p>
            <w:pPr>
              <w:jc w:val="left"/>
            </w:pPr>
            <w:r>
              <w:rPr>
                <w:rFonts w:ascii="Arial" w:cs="Arial" w:eastAsia="Arial" w:hAnsi="Arial"/>
                <w:sz w:val="24"/>
                <w:szCs w:val="24"/>
              </w:rPr>
              <w:t xml:space="preserve">1) совершенствования координации таможенной и налоговой политики, прежде всего в отношении НДС;</w:t>
            </w:r>
          </w:p>
          <w:p>
            <w:pPr>
              <w:jc w:val="left"/>
            </w:pPr>
            <w:r>
              <w:rPr>
                <w:rFonts w:ascii="Arial" w:cs="Arial" w:eastAsia="Arial" w:hAnsi="Arial"/>
                <w:sz w:val="24"/>
                <w:szCs w:val="24"/>
              </w:rPr>
              <w:t xml:space="preserve">2) повышения акцизов на товар и налогов на имущество для отдельных категорий налогоплательщиков;</w:t>
            </w:r>
          </w:p>
          <w:p>
            <w:pPr>
              <w:jc w:val="left"/>
            </w:pPr>
            <w:r>
              <w:rPr>
                <w:rFonts w:ascii="Arial" w:cs="Arial" w:eastAsia="Arial" w:hAnsi="Arial"/>
                <w:sz w:val="24"/>
                <w:szCs w:val="24"/>
              </w:rPr>
              <w:t xml:space="preserve">3) реформирования налогообложения недропользования в соответствии с передовой практикой;</w:t>
            </w:r>
          </w:p>
          <w:p>
            <w:pPr>
              <w:jc w:val="left"/>
            </w:pPr>
            <w:r>
              <w:rPr>
                <w:rFonts w:ascii="Arial" w:cs="Arial" w:eastAsia="Arial" w:hAnsi="Arial"/>
                <w:sz w:val="24"/>
                <w:szCs w:val="24"/>
              </w:rPr>
              <w:t xml:space="preserve">4) укрепления потенциала ГНС для анализа налоговой политики и прогнозирования доходов, с привлечением международного эксперта к разработке инструментов анализа и подготовке специалистов</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мероприятий по реформе государственной службы и оплаты труда в государственном секторе для снижения фонда оплаты труда относительно ВВП</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рентабельности субсидий, в частности в электроэнергетике, и разработка плана действий, направленных на уменьшение их нагрузки на бюджет</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количественного показателя расходов государственного бюджета на программы адресной социальной защиты, выплату ежемесячного пособия малообеспеченным семьям, имеющим детей (ЕПМС), и ежемесячного социального пособия (ЕСП)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(ориентировочный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Минсоцразвития</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Совместно с международными партнерами и отраслевыми министерствами провести анализ системы государственных инвестиций для выявления имеющихся недостатков, подготовки плана действий</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МЭ, отраслевые министерства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среднесрочной стратегии управления долгом на 2015-2017 годы, включающей следующие критерии:</w:t>
            </w:r>
          </w:p>
          <w:p>
            <w:pPr>
              <w:jc w:val="left"/>
            </w:pPr>
            <w:r>
              <w:rPr>
                <w:rFonts w:ascii="Arial" w:cs="Arial" w:eastAsia="Arial" w:hAnsi="Arial"/>
                <w:sz w:val="24"/>
                <w:szCs w:val="24"/>
              </w:rPr>
              <w:t xml:space="preserve">1) заимствование только для проектов, способствующих экономическому росту и социальному развитию;</w:t>
            </w:r>
          </w:p>
          <w:p>
            <w:pPr>
              <w:jc w:val="left"/>
            </w:pPr>
            <w:r>
              <w:rPr>
                <w:rFonts w:ascii="Arial" w:cs="Arial" w:eastAsia="Arial" w:hAnsi="Arial"/>
                <w:sz w:val="24"/>
                <w:szCs w:val="24"/>
              </w:rPr>
              <w:t xml:space="preserve">2) поддержание устойчивого уровня долга;</w:t>
            </w:r>
          </w:p>
          <w:p>
            <w:pPr>
              <w:jc w:val="left"/>
            </w:pPr>
            <w:r>
              <w:rPr>
                <w:rFonts w:ascii="Arial" w:cs="Arial" w:eastAsia="Arial" w:hAnsi="Arial"/>
                <w:sz w:val="24"/>
                <w:szCs w:val="24"/>
              </w:rPr>
              <w:t xml:space="preserve">3) обеспечение соответствия заимствований среднесрочным параметрам бюджета и целям макроэкономической стабильности</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для мониторинга долга 10 крупнейших государственных предприятий, включая новые контракты и месячные платежи по обслуживанию долга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превышения максимального уровня привлекаемых или гарантируемых государственным сектором новых нельготных внешних займов (постоянный показатель, в млн. долл. США)</w:t>
            </w:r>
          </w:p>
          <w:p>
            <w:pPr>
              <w:jc w:val="left"/>
            </w:pPr>
            <w:r>
              <w:rPr>
                <w:rFonts w:ascii="Arial" w:cs="Arial" w:eastAsia="Arial" w:hAnsi="Arial"/>
                <w:sz w:val="24"/>
                <w:szCs w:val="24"/>
              </w:rPr>
              <w:t xml:space="preserve">(количественный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контроль</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возникновения просроченной внешней задолженности (постоянный показатель, в млн. долл. США)</w:t>
            </w:r>
          </w:p>
          <w:p>
            <w:pPr>
              <w:jc w:val="left"/>
            </w:pPr>
            <w:r>
              <w:rPr>
                <w:rFonts w:ascii="Arial" w:cs="Arial" w:eastAsia="Arial" w:hAnsi="Arial"/>
                <w:sz w:val="24"/>
                <w:szCs w:val="24"/>
              </w:rPr>
              <w:t xml:space="preserve">(количественный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контроль</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прозрачной и подотчетной системы управления, характеризующейся следующими критериями:</w:t>
            </w:r>
          </w:p>
          <w:p>
            <w:pPr>
              <w:jc w:val="left"/>
            </w:pPr>
            <w:r>
              <w:rPr>
                <w:rFonts w:ascii="Arial" w:cs="Arial" w:eastAsia="Arial" w:hAnsi="Arial"/>
                <w:sz w:val="24"/>
                <w:szCs w:val="24"/>
              </w:rPr>
              <w:t xml:space="preserve">1) применение оптимальной практики корпоративного управления, включая проведение независимых аудиторских проверок международной признанной организаций;</w:t>
            </w:r>
          </w:p>
          <w:p>
            <w:pPr>
              <w:jc w:val="left"/>
            </w:pPr>
            <w:r>
              <w:rPr>
                <w:rFonts w:ascii="Arial" w:cs="Arial" w:eastAsia="Arial" w:hAnsi="Arial"/>
                <w:sz w:val="24"/>
                <w:szCs w:val="24"/>
              </w:rPr>
              <w:t xml:space="preserve">2) установление институциональных, корпоративных и финансовых руководящих принципов в соответствии с оптимальной международной практикой, с определением четких функций и финансирования Кыргызско-Российского Фонда развития и обеспечением его финансовой устойчивости;</w:t>
            </w:r>
          </w:p>
          <w:p>
            <w:pPr>
              <w:jc w:val="left"/>
            </w:pPr>
            <w:r>
              <w:rPr>
                <w:rFonts w:ascii="Arial" w:cs="Arial" w:eastAsia="Arial" w:hAnsi="Arial"/>
                <w:sz w:val="24"/>
                <w:szCs w:val="24"/>
              </w:rPr>
              <w:t xml:space="preserve">3) не допускать, чтобы деятельность Фонда создавала какие-либо условные обязательства государственного баланса, поскольку Правительство не несет никаких юридических обязательств по экстренной финансовой поддержке Фонда в случае его неликвидности или неплатежеспособности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бюджета Социального фонда Кыргызской Республики в систему государственного бюджета, с включением его операций в сферу Центрального казначейства при Министерстве финансов Кыргызской Республики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Соцфонд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методологической основы по бюджетным рискам в соответствии с рекомендациями миссии технической помощи МВФ в Техническом меморандуме о договоренности при содействии международного консультанта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Денежно-кредитная и курсовая политика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мониторинга и управления системной ликвидностью на основе прогнозов спроса и предложения структурной ликвидности и улучшения координации с Центральным казначейством при Министерстве финансов Кыргызской Республики, с учетом валютных операций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постоянно</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количественных показателей по чистым международным резервам и чистым внутренним активам НБКР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(количественные показатели)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согласованные действия НБКР и Минфина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денежной базы на установленном уровне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(ориентировочный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проведение операций на открытом рынке и валютные интервенции</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Сдерживание проведения кредитных аукционов НБКР до стабилизации роста кредита и валютного рынка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операций на валютном рынке в целях сглаживания краткосрочных колебаний обменного курса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валютные интервенции (покупка и продажа иностранной валюты)</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более высоких резервных требований для валютных депозитов по сравнению с депозитами в национальной валюте</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в I полугодии 2015 года следующих мер:</w:t>
            </w:r>
          </w:p>
          <w:p>
            <w:pPr>
              <w:jc w:val="left"/>
            </w:pPr>
            <w:r>
              <w:rPr>
                <w:rFonts w:ascii="Arial" w:cs="Arial" w:eastAsia="Arial" w:hAnsi="Arial"/>
                <w:sz w:val="24"/>
                <w:szCs w:val="24"/>
              </w:rPr>
              <w:t xml:space="preserve">1) повышение нормативов РППУ до 2,5 процента по новым валютным кредитам клиентам, получающим более 75 процентов доходов в иностранной валюте;</w:t>
            </w:r>
          </w:p>
          <w:p>
            <w:pPr>
              <w:jc w:val="left"/>
            </w:pPr>
            <w:r>
              <w:rPr>
                <w:rFonts w:ascii="Arial" w:cs="Arial" w:eastAsia="Arial" w:hAnsi="Arial"/>
                <w:sz w:val="24"/>
                <w:szCs w:val="24"/>
              </w:rPr>
              <w:t xml:space="preserve">2) повышение нормативов РППУ до 5 процентов по новым валютным кредитам клиентам, получающим от 50 до 75 процентов доходов в иностранной валюте;</w:t>
            </w:r>
          </w:p>
          <w:p>
            <w:pPr>
              <w:jc w:val="left"/>
            </w:pPr>
            <w:r>
              <w:rPr>
                <w:rFonts w:ascii="Arial" w:cs="Arial" w:eastAsia="Arial" w:hAnsi="Arial"/>
                <w:sz w:val="24"/>
                <w:szCs w:val="24"/>
              </w:rPr>
              <w:t xml:space="preserve">3) повышение нормативов РППУ до 7,5 процента по новым валютным кредитам клиентам, получающим менее 50 процентов доходов в иностранной валюте</w:t>
            </w:r>
          </w:p>
          <w:p>
            <w:pPr>
              <w:jc w:val="left"/>
            </w:pPr>
            <w:r>
              <w:rPr>
                <w:rFonts w:ascii="Arial" w:cs="Arial" w:eastAsia="Arial" w:hAnsi="Arial"/>
                <w:sz w:val="24"/>
                <w:szCs w:val="24"/>
              </w:rPr>
              <w:t xml:space="preserve">(предварительная мера)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вступление в действие в I полугодии 2015 года,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требований по ограничению расходов на обслуживание кредита к доходам клиентов для новых потребительских кредитов в размере 50 процентов</w:t>
            </w:r>
          </w:p>
          <w:p>
            <w:pPr>
              <w:jc w:val="left"/>
            </w:pPr>
            <w:r>
              <w:rPr>
                <w:rFonts w:ascii="Arial" w:cs="Arial" w:eastAsia="Arial" w:hAnsi="Arial"/>
                <w:sz w:val="24"/>
                <w:szCs w:val="24"/>
              </w:rPr>
              <w:t xml:space="preserve">(предварительная мера)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мониторинга уровней прямых и косвенных валютных рисков банков путем:</w:t>
            </w:r>
          </w:p>
          <w:p>
            <w:pPr>
              <w:jc w:val="left"/>
            </w:pPr>
            <w:r>
              <w:rPr>
                <w:rFonts w:ascii="Arial" w:cs="Arial" w:eastAsia="Arial" w:hAnsi="Arial"/>
                <w:sz w:val="24"/>
                <w:szCs w:val="24"/>
              </w:rPr>
              <w:t xml:space="preserve">1) совершенствования правил отчетности/раскрытия информации об открытых позициях банков и их заемщиках в иностранной валюте;</w:t>
            </w:r>
          </w:p>
          <w:p>
            <w:pPr>
              <w:jc w:val="left"/>
            </w:pPr>
            <w:r>
              <w:rPr>
                <w:rFonts w:ascii="Arial" w:cs="Arial" w:eastAsia="Arial" w:hAnsi="Arial"/>
                <w:sz w:val="24"/>
                <w:szCs w:val="24"/>
              </w:rPr>
              <w:t xml:space="preserve">2) установления требований по проведению ежемесячных обследований открытых валютных позиций банков и их заемщиков (самими банками и органами надзора);</w:t>
            </w:r>
          </w:p>
          <w:p>
            <w:pPr>
              <w:jc w:val="left"/>
            </w:pPr>
            <w:r>
              <w:rPr>
                <w:rFonts w:ascii="Arial" w:cs="Arial" w:eastAsia="Arial" w:hAnsi="Arial"/>
                <w:sz w:val="24"/>
                <w:szCs w:val="24"/>
              </w:rPr>
              <w:t xml:space="preserve">3) обеспечения строгого соблюдения лимитов на чистые открытые валютные позиции;</w:t>
            </w:r>
          </w:p>
          <w:p>
            <w:pPr>
              <w:jc w:val="left"/>
            </w:pPr>
            <w:r>
              <w:rPr>
                <w:rFonts w:ascii="Arial" w:cs="Arial" w:eastAsia="Arial" w:hAnsi="Arial"/>
                <w:sz w:val="24"/>
                <w:szCs w:val="24"/>
              </w:rPr>
              <w:t xml:space="preserve">4) обеспечения строгого соблюдения правил регистрации всех кредитов в кредитном бюро</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мониторинг и осуществление надзора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Поддерживание валютных резервов на уровне выше 3 месяцев импорта в течение срока действия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МЭ</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гармонизации стандартных минимальных требований к капиталу путем постепенного повышения требований к оплаченному капиталу банков в три этапа к 2017 году</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контроля за деятельностью обменных бюро путем распространения надзора НБКР за их деятельностью, с обязательным представлением отчетности в НБКР</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Жогорку Кенеш Кыргызской Республики проект Закона, предусматривающий поправки в Кодекс Кыргызской Республики об административной ответственности, в части повышения санкций за осуществление валютных операций без лицензии до 50000 сомов для физических лиц, 100000 - для должностных лиц предприятий и 200000 сомов - для юридических лиц</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полугодие 2015 года, постановление ПКР об одобрении проекта Закона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аудита ДЕБРА</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ДЕБРА, НБКР (НБКР отвечает за организацию тендера при содействии Всемирного банка и выбор международной аудиторской компании для проведения специального аудита ДЕБРА в рамках финансируемого СЕКО проекта развития финансового сектора)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подзаконных актов, направленных на реализацию Закона Кыргызской Республики "О платежной системе"</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официальной системы обеспечения готовности к кризисам, включая закрепление за НБКР функции по обеспечению финансовой стабильности, разработке комплексного антикризисного плана для банковского сектора, обеспечению наличия надлежащих меморандумов между соответствующими ведомствами, подготовке плана действий на случай финансового кризиса для каждого ведомства и периодическое проведение моделирования кризисов на межведомственном и внутриведомственном уровнях</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Минфин, АЗД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принятии Жогорку Кенешем Кыргызской Республики законопроектов, одобренных постановлением Правительства Кыргызской Республики от 27 сентября 2013 года № 529</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Постоянный представитель Правительства КР в ЖК 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Жогорку Кенеш Кыргызской Республики проект Закона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и проект Закона Кыргызской Республики "О внесении изменений в некоторые законодательные акты Кыргызской Республики", в целях приведения в соответствие с Рекомендациями ФАТФ от 16 февраля 2012 года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 проекты законов</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 государственные органы, входящие в состав Комиссии по вопросам противодействия финансированию терроризма (экстремизма) и легализации (отмыванию) доходов</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Структурная реформа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реформы в ГНС путем:</w:t>
            </w:r>
          </w:p>
          <w:p>
            <w:pPr>
              <w:jc w:val="left"/>
            </w:pPr>
            <w:r>
              <w:rPr>
                <w:rFonts w:ascii="Arial" w:cs="Arial" w:eastAsia="Arial" w:hAnsi="Arial"/>
                <w:sz w:val="24"/>
                <w:szCs w:val="24"/>
              </w:rPr>
              <w:t xml:space="preserve">1) анализа совокупности налогоплательщиков для определения оптимального числа налогоплательщиков в ведении УККН;</w:t>
            </w:r>
          </w:p>
          <w:p>
            <w:pPr>
              <w:jc w:val="left"/>
            </w:pPr>
            <w:r>
              <w:rPr>
                <w:rFonts w:ascii="Arial" w:cs="Arial" w:eastAsia="Arial" w:hAnsi="Arial"/>
                <w:sz w:val="24"/>
                <w:szCs w:val="24"/>
              </w:rPr>
              <w:t xml:space="preserve">2) обеспечения охвата УККН всех крупных налогоплательщиков и предоставления ими деклараций в электронной форме</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2016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Реорганизация организационной структуры ГНС с сокращением дублирования функций в части межрегиональных УГНС</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полугодие 2015 года,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 ГНС</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поставщика для интеграции национальной автоматизированной системы казначейства с межбанковской платежной системой</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в Жогорку Кенеше Кыргызской Республики проекта Закона Кыргызской Республики о введении в действие проекта Бюджетного кодекса Кыргызской Республики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защитных мер</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Финансовому департаменту МВФ информации, необходимой для оценки, включая полномочия на контакты с его внешним аудитором, и/или в случае необходимости принять миссию по защитным мерам.</w:t>
            </w:r>
          </w:p>
          <w:p>
            <w:pPr>
              <w:jc w:val="left"/>
            </w:pPr>
            <w:r>
              <w:rPr>
                <w:rFonts w:ascii="Arial" w:cs="Arial" w:eastAsia="Arial" w:hAnsi="Arial"/>
                <w:sz w:val="24"/>
                <w:szCs w:val="24"/>
              </w:rPr>
              <w:t xml:space="preserve">Подготовка и выполнение плана мероприятий на основе согласованных рекомендаций по итогам оценки защитных мер и включение приоритетных рекомендаций в число будущих мер в рамках поддерживаемой Фондом программы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работа с миссией МВФ по оценке защитных мер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Меморандум о договоренности от 14 июня 2011 года между Министерством финансов и НБКР по управлению валютными резервами, в том числе предназначенными для поддержки бюджета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внесение изменений в Меморандум о договоренности</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НБКР</w:t>
            </w:r>
          </w:p>
        </w:tc>
      </w:tr>
    </w:tbl>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Минфин</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ФУГИ</w:t>
      </w:r>
      <w:r>
        <w:rPr>
          <w:rFonts w:ascii="Arial" w:cs="Arial" w:eastAsia="Arial" w:hAnsi="Arial"/>
          <w:sz w:val="24"/>
          <w:szCs w:val="24"/>
        </w:rPr>
        <w:t xml:space="preserve">	</w:t>
      </w: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b/>
          <w:bCs/>
          <w:sz w:val="24"/>
          <w:szCs w:val="24"/>
        </w:rPr>
        <w:t xml:space="preserve">ГСФР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УККН</w:t>
      </w:r>
      <w:r>
        <w:rPr>
          <w:rFonts w:ascii="Arial" w:cs="Arial" w:eastAsia="Arial" w:hAnsi="Arial"/>
          <w:sz w:val="24"/>
          <w:szCs w:val="24"/>
        </w:rPr>
        <w:t xml:space="preserve">	</w:t>
      </w:r>
      <w:r>
        <w:rPr>
          <w:rFonts w:ascii="Arial" w:cs="Arial" w:eastAsia="Arial" w:hAnsi="Arial"/>
          <w:sz w:val="24"/>
          <w:szCs w:val="24"/>
        </w:rPr>
        <w:t xml:space="preserve">Управление по контролю за крупными налогоплательщиками</w:t>
      </w:r>
    </w:p>
    <w:p>
      <w:pPr>
        <w:tabs>
          <w:tab w:val="right" w:pos="10178"/>
        </w:tabs>
        <w:spacing w:after="120"/>
      </w:pPr>
      <w:r>
        <w:rPr>
          <w:rFonts w:ascii="Arial" w:cs="Arial" w:eastAsia="Arial" w:hAnsi="Arial"/>
          <w:b/>
          <w:bCs/>
          <w:sz w:val="24"/>
          <w:szCs w:val="24"/>
        </w:rPr>
        <w:t xml:space="preserve">УГНС</w:t>
      </w:r>
      <w:r>
        <w:rPr>
          <w:rFonts w:ascii="Arial" w:cs="Arial" w:eastAsia="Arial" w:hAnsi="Arial"/>
          <w:sz w:val="24"/>
          <w:szCs w:val="24"/>
        </w:rPr>
        <w:t xml:space="preserve">	</w:t>
      </w:r>
      <w:r>
        <w:rPr>
          <w:rFonts w:ascii="Arial" w:cs="Arial" w:eastAsia="Arial" w:hAnsi="Arial"/>
          <w:sz w:val="24"/>
          <w:szCs w:val="24"/>
        </w:rPr>
        <w:t xml:space="preserve">Управление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МТММ</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 Кыргызской Республики</w:t>
      </w:r>
    </w:p>
    <w:p>
      <w:pPr>
        <w:tabs>
          <w:tab w:val="right" w:pos="10178"/>
        </w:tabs>
        <w:spacing w:after="120"/>
      </w:pPr>
      <w:r>
        <w:rPr>
          <w:rFonts w:ascii="Arial" w:cs="Arial" w:eastAsia="Arial" w:hAnsi="Arial"/>
          <w:b/>
          <w:bCs/>
          <w:sz w:val="24"/>
          <w:szCs w:val="24"/>
        </w:rPr>
        <w:t xml:space="preserve">Минэнергопром</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и промышленности Кыргызской Республики</w:t>
      </w:r>
    </w:p>
    <w:p>
      <w:pPr>
        <w:tabs>
          <w:tab w:val="right" w:pos="10178"/>
        </w:tabs>
        <w:spacing w:after="120"/>
      </w:pPr>
      <w:r>
        <w:rPr>
          <w:rFonts w:ascii="Arial" w:cs="Arial" w:eastAsia="Arial" w:hAnsi="Arial"/>
          <w:b/>
          <w:bCs/>
          <w:sz w:val="24"/>
          <w:szCs w:val="24"/>
        </w:rPr>
        <w:t xml:space="preserve">Минсоцразвития</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АЗД</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w:t>
      </w:r>
    </w:p>
    <w:p>
      <w:pPr>
        <w:tabs>
          <w:tab w:val="right" w:pos="10178"/>
        </w:tabs>
        <w:spacing w:after="120"/>
      </w:pPr>
      <w:r>
        <w:rPr>
          <w:rFonts w:ascii="Arial" w:cs="Arial" w:eastAsia="Arial" w:hAnsi="Arial"/>
          <w:b/>
          <w:bCs/>
          <w:sz w:val="24"/>
          <w:szCs w:val="24"/>
        </w:rPr>
        <w:t xml:space="preserve">ДЕБРА</w:t>
      </w:r>
      <w:r>
        <w:rPr>
          <w:rFonts w:ascii="Arial" w:cs="Arial" w:eastAsia="Arial" w:hAnsi="Arial"/>
          <w:sz w:val="24"/>
          <w:szCs w:val="24"/>
        </w:rPr>
        <w:t xml:space="preserve">	</w:t>
      </w:r>
      <w:r>
        <w:rPr>
          <w:rFonts w:ascii="Arial" w:cs="Arial" w:eastAsia="Arial" w:hAnsi="Arial"/>
          <w:sz w:val="24"/>
          <w:szCs w:val="24"/>
        </w:rPr>
        <w:t xml:space="preserve">Агентство по реорганизации банков и реструктуризации долгов</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НДС</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МВФ</w:t>
      </w:r>
      <w:r>
        <w:rPr>
          <w:rFonts w:ascii="Arial" w:cs="Arial" w:eastAsia="Arial" w:hAnsi="Arial"/>
          <w:sz w:val="24"/>
          <w:szCs w:val="24"/>
        </w:rPr>
        <w:t xml:space="preserve">	</w:t>
      </w:r>
      <w:r>
        <w:rPr>
          <w:rFonts w:ascii="Arial" w:cs="Arial" w:eastAsia="Arial" w:hAnsi="Arial"/>
          <w:sz w:val="24"/>
          <w:szCs w:val="24"/>
        </w:rPr>
        <w:t xml:space="preserve">Международный валютный фонд</w:t>
      </w:r>
    </w:p>
    <w:p>
      <w:pPr>
        <w:tabs>
          <w:tab w:val="right" w:pos="10178"/>
        </w:tabs>
        <w:spacing w:after="120"/>
      </w:pPr>
      <w:r>
        <w:rPr>
          <w:rFonts w:ascii="Arial" w:cs="Arial" w:eastAsia="Arial" w:hAnsi="Arial"/>
          <w:b/>
          <w:bCs/>
          <w:sz w:val="24"/>
          <w:szCs w:val="24"/>
        </w:rPr>
        <w:t xml:space="preserve">РППУ</w:t>
      </w:r>
      <w:r>
        <w:rPr>
          <w:rFonts w:ascii="Arial" w:cs="Arial" w:eastAsia="Arial" w:hAnsi="Arial"/>
          <w:sz w:val="24"/>
          <w:szCs w:val="24"/>
        </w:rPr>
        <w:t xml:space="preserve">	</w:t>
      </w:r>
      <w:r>
        <w:rPr>
          <w:rFonts w:ascii="Arial" w:cs="Arial" w:eastAsia="Arial" w:hAnsi="Arial"/>
          <w:sz w:val="24"/>
          <w:szCs w:val="24"/>
        </w:rPr>
        <w:t xml:space="preserve">Резерв на покрытие потенциальных убытков</w:t>
      </w:r>
    </w:p>
    <w:p>
      <w:pPr>
        <w:spacing w:after="6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q5yx4t8wa69ubwwcrli">
      <w:r>
        <w:rPr>
          <w:rFonts w:ascii="Arial" w:cs="Arial" w:eastAsia="Arial" w:hAnsi="Arial"/>
          <w:color w:val="132D3F"/>
          <w:sz w:val="16"/>
          <w:szCs w:val="16"/>
          <w:u w:val="single"/>
        </w:rPr>
        <w:t xml:space="preserve">dalil.kg/document/97814</w:t>
      </w:r>
    </w:hyperlink>
  </w:p>
  <w:p>
    <w:pPr>
      <w:spacing w:after="0" w:before="40"/>
      <w:jc w:val="center"/>
    </w:pPr>
    <w:hyperlink w:history="1" r:id="rIdj96-2s4upx0vhwbyqhu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ftgxosqc3-nfofl-thi" Type="http://schemas.openxmlformats.org/officeDocument/2006/relationships/hyperlink" Target="https://dalil.kg/document/12750" TargetMode="External"/><Relationship Id="rIdi7gko2vvnjrkky3qgtd24" Type="http://schemas.openxmlformats.org/officeDocument/2006/relationships/hyperlink" Target="https://dalil.kg/document/203685" TargetMode="External"/><Relationship Id="rIdsqii_d9x6jo0eehjvfoi6" Type="http://schemas.openxmlformats.org/officeDocument/2006/relationships/hyperlink" Target="https://dalil.kg/document/559" TargetMode="External"/><Relationship Id="rId7yntueuztcdhoyf7ogcei" Type="http://schemas.openxmlformats.org/officeDocument/2006/relationships/hyperlink" Target="https://dalil.kg/document/97814#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q5yx4t8wa69ubwwcrli" Type="http://schemas.openxmlformats.org/officeDocument/2006/relationships/hyperlink" Target="https://dalil.kg/document/97814" TargetMode="External"/><Relationship Id="rIdj96-2s4upx0vhwbyqhu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2026-10-04T20:02:39.456Z</dcterms:created>
  <dcterms:modified xsi:type="dcterms:W3CDTF">2026-10-04T20:02:39.456Z</dcterms:modified>
</cp:coreProperties>
</file>

<file path=docProps/custom.xml><?xml version="1.0" encoding="utf-8"?>
<Properties xmlns="http://schemas.openxmlformats.org/officeDocument/2006/custom-properties" xmlns:vt="http://schemas.openxmlformats.org/officeDocument/2006/docPropsVTypes"/>
</file>