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mwzj58nqmc3yoxlqi5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2015 года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Закон Кыргызской Республики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z2ju6xvjylpveg1v2n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zbs9jxbbkqbvv5xqgy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</w:t>
      </w:r>
      <w:hyperlink w:history="1" r:id="rIdkf_ebzudjxwrrp7afm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инициированный депутатами Жогорку Кенеша Кыргызской Республики Кутушевым А.О. и Касымбековым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wdmwpwbq1baz2gpnbjg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августа 2015 года № 605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дополнений и изменений в Закон Кыргызской Республики "О гражданстве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инициированный депутатами Жогорку Кенеша Кыргызской Республики Кутушевым А.О. и Касымбековым Н.А.,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Вышеназванный проект Закона не соответствует требованиям нормотворческой техники. В этой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проекта слова "дополнений и изменений" предлагаем заменить словами "изменений и дополнений";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статьи 1 проекта Закона в качестве официального источника опубликования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предлагаем указать Ведомости Жогорку Кенеша Кыргызской Республики, 2007 г., № 5, ст.461;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поскольку, согласно </w:t>
      </w:r>
      <w:r>
        <w:rPr>
          <w:rFonts w:ascii="Arial" w:cs="Arial" w:eastAsia="Arial" w:hAnsi="Arial"/>
          <w:sz w:val="24"/>
          <w:szCs w:val="24"/>
        </w:rPr>
        <w:t xml:space="preserve">статье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признанию утратившими силу подлежат нормативный правовой акт, его структурные элементы; исключению - слова, цифры и предложения, предлагаем доработать редакцию части 5 статьи 1 проекта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слова "Кыргызской Республики" встречаются дважды. Согласно представленной сравнительной таблице, замену указанных слов предлагается осуществить применительно к судам. В этой связи часть 6 статьи 1 проекта Закона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пункте 5 статьи 16 слова "судами Кыргызской Республики" заменить словами "судами соответствующего государства".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Рассматриваемым проектом Закона, а также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определяются полномочия государственных органов исполнительной власти, подчиненных Правительству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закрепление на законодательном уровне полномочий и функций вышеназванных государственных органов не соответствует требованиям статей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в соответствии с которыми Правительство Кыргызской Республики, исходя из полномочий, указанных в названном </w:t>
      </w:r>
      <w:r>
        <w:rPr>
          <w:rFonts w:ascii="Arial" w:cs="Arial" w:eastAsia="Arial" w:hAnsi="Arial"/>
          <w:sz w:val="24"/>
          <w:szCs w:val="24"/>
        </w:rPr>
        <w:t xml:space="preserve">конституционном Законе</w:t>
      </w:r>
      <w:r>
        <w:rPr>
          <w:rFonts w:ascii="Arial" w:cs="Arial" w:eastAsia="Arial" w:hAnsi="Arial"/>
          <w:sz w:val="24"/>
          <w:szCs w:val="24"/>
        </w:rPr>
        <w:t xml:space="preserve">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 и утверждает положения о названных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1 проекта Закона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предлагается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"Гражданство ребенка не меняется при изменении гражданства родителей, лишенных родительских прав. При изменении гражданства ребенка с согласия территориального подразделения уполномоченного государственного органа по защите детей не требуется согласие его родителей, лишенных родительских прав.".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положению необходимо отметить, что согласно Кодексу Кыргызской Республики о детях, если родители или единственный родитель лишены родительских прав в отношении ребенка, то ребенок считается оставшимся без попечения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родители или единственный родитель не восстановили родительские права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77</w:t>
      </w:r>
      <w:r>
        <w:rPr>
          <w:rFonts w:ascii="Arial" w:cs="Arial" w:eastAsia="Arial" w:hAnsi="Arial"/>
          <w:sz w:val="24"/>
          <w:szCs w:val="24"/>
        </w:rPr>
        <w:t xml:space="preserve"> Семейного кодекса Кыргызской Республики территориальное подразделение уполномоченного государственного органа по защите детей вправе передать ребенка на усыновление (удочерение)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58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 усыновленные дети и их потомство по отношению к усыновителям и их родственникам, а усыновители и их родственники по отношению к усыновленным детям и их потомству приравниваются в личных неимущественных и имущественных правах и обязанностях к родственникам по происхождению. Усыновленные дети утрачивают личные неимущественные и имущественные права и освобождаются от обязанностей по отношению к своим родителям (своим родственникам).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усыновители, которые усыновили ребенка, у которого родители или единственный родитель были лишены родительских прав, вправе изменить гражданство без согласия территориального подразделения уполномоченного государственного органа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если территориальному подразделению уполномоченного государственного органа по защите детей не представилась возможность передать ребенка на усыновление (удочерение) либо под опеку (попечительство), тогда ребенок направляется в детское учреждение интернатного типа, независимо от формы собственности, где ребенок до 18 лет сохраняет гражданство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 вышеназванной поправке в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предлагаем принять во внимание положения статей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Республики". В соответствии с указанными статьями ребенок, являющийся гражданином Кыргызской Республики, усыновленный (удочеренный) иностранными гражданами или лицами без гражданства либо супругами; один из которых - гражданин Кыргызской Республики, а другой - иностранный гражданин или лицо без гражданства, сохраняет гражданство Кыргызской Республики. При этом в случае если родители или один из родителей ребенка, который проживает на территории Кыргызской Республики, выходят из гражданства Кыргызской Республики или утрачивают его и при этом не участвуют в воспитании ребенка, над которым установлены опека или попечительство граждан Кыргызской Республики, ребенок по ходатайству опекуна или попечителя сохраняет гражданство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считаем нецелесообразным дополнять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вышеназванного Закона предлагаемой частью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50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гражданин в силу своего гражданства имеет права и несет обязанности. Ни один гражданин не может быть лишен своего гражданства и права изменить свое гражданство. За лицами, являющимися гражданами Кыргызской Республики, признается принадлежность к гражданству другого государства в соответствии с законами и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Кыргызы, проживающие за пределами Кыргызской Республики, вне зависимости от наличия гражданства другого государства, вправе получить гражданство Кыргызской Республики в упрощенном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актах гражданского состояния", основанием для государственной регистрации рождения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рождении, выданная медицинским учреждением, в котором происходили роды, либо справка о рождении, выданная врачом или другим медицинским работником, уполномоченным соответствующим органом здравоохранения, при родах вне пределов медицинского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родителей (одного из родителей) ребенка, удостоверяющие их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удостоверенное соглашение родителей о признании родившего ребенка гражданином Кыргызской Республики (в случае если родители ребенка имеют различное гражданство, один из которых к моменту рождения ребенка является гражданином Кыргызской Республики, а другой иностранным гражданином).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вышеназванных оснований для государственной регистрации рождения, государственная регистрация рождения ребенка производится на основании решения суда об установлении факта рождения ребенка данной женщиной.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считаем, что в случае исключения наличия письменного согласия со стороны родителей несовершеннолетнего ребенка при выборе его гражданства нарушится принцип, гарантированный вышеназванной статьей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предлагаем пересмотреть редакцию абзаца третьего части 3 статьи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постоянный вид на жительство выдается иностранному гражданину или лицу без гражданства, получившему статус иммигранта, желающему постоянно проживать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в части 4 статьи 1 проекта Закона дополнительно предусмотреть внесение изменения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пункте 1 части 1 статьи 13 слова "на момент подачи заявления" заменить словами "после получения постоянного вида на жительство".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гражданства, подписанного 26 февраля 1999 года в городе Москва (ратифицировано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31 июля 2000 года № 69), каждая Сторона предоставляет прибывающим на постоянное жительство на ее территорию гражданам другой Стороны право приобрести гражданство в упрощенном (регистрационном) порядке при наличии одного из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заявитель состоял в гражданстве Белорусской ССР, Казахской ССР, Киргизской ССР или РСФСР и одновременно в гражданстве бывшего СССР, родился или проживал на территории Стороны приобретаемого гражданства до 21 декабря 1991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у заявителя одного из постоянно проживающих на территории Стороны приобретаемого гражданства и являющихся ее гражданами близких родственников: супруга (супруги), одного из родителей (усыновителей), ребенка (в том числе усыновленного), сестры, брата, деда или бабушки, внука или внучки.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порядок распространяется на граждан Сторон, постоянно проживающих на территории другой Стороны, независимо от срока проживания на территории Стороны приобретаемого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приобретение гражданства одной Стороны и выход из гражданства другой Стороны производятся на основе свободного волеизъявления заинтересованных лиц в соответствии с законодательством Сторон и положениями названного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а также принимая во внимание положения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в части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названного Закона пункт 3 полагаем целесообразным сохранить в действующей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предлагаем дополнительно внести изменение в </w:t>
      </w:r>
      <w:r>
        <w:rPr>
          <w:rFonts w:ascii="Arial" w:cs="Arial" w:eastAsia="Arial" w:hAnsi="Arial"/>
          <w:sz w:val="24"/>
          <w:szCs w:val="24"/>
        </w:rPr>
        <w:t xml:space="preserve">статью 18</w:t>
      </w:r>
      <w:r>
        <w:rPr>
          <w:rFonts w:ascii="Arial" w:cs="Arial" w:eastAsia="Arial" w:hAnsi="Arial"/>
          <w:sz w:val="24"/>
          <w:szCs w:val="24"/>
        </w:rPr>
        <w:t xml:space="preserve"> указанного Закона в части исключения слов "или лицами без гражданства", так как согласно </w:t>
      </w:r>
      <w:r>
        <w:rPr>
          <w:rFonts w:ascii="Arial" w:cs="Arial" w:eastAsia="Arial" w:hAnsi="Arial"/>
          <w:sz w:val="24"/>
          <w:szCs w:val="24"/>
        </w:rPr>
        <w:t xml:space="preserve">статье 44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 дети могут быть переданы на усыновление (удочерение) гражданам Кыргызской Республики, а также иностранным гражданам.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Абзацами вторым и третьим части 10 статьи 1 проекта Закона предлагается внести изменения в части 1 и 2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исключающие из контекста названной статьи термины "постоянного" и "постоянно".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выезд за пределы Кыргызской Республики имеет разные характеры и может преследовать различные цели, в частности, выезд может осуществляться по частным делам, по служебным делам, в целях трудовой миграции. Выезд же на постоянное место жительства расценивается как эмиграция, порядок осуществления которой определен </w:t>
      </w:r>
      <w:r>
        <w:rPr>
          <w:rFonts w:ascii="Arial" w:cs="Arial" w:eastAsia="Arial" w:hAnsi="Arial"/>
          <w:sz w:val="24"/>
          <w:szCs w:val="24"/>
        </w:rPr>
        <w:t xml:space="preserve">статьей 54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миграции". Так, в соответствии с данной статьей граждане Кыргызской Республики, выезжающие на постоянное жительство за пределы Кыргызской Республики, должны иметь соответствующую визу или разрешение, выдаваемые в порядке, установленном законодательством государства въезда.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получившие выездные документы, имеют право на вывоз в страну выезда, а также сохранение на территории Кыргызской Республики имущества, принадлежащего им на праве собственности. Любое ограничение их гражданских, социальных, трудовых, жилищных и иных прав не допускается. Вывоз гражданами Кыргызской Республики предметов, представляющих культурную, историческую или иную ценность для государства, за пределы Кыргызской Республики регулируется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до выезда за ее пределы на постоянное жительство обязаны исполнить имущественные обязательства перед физическими и юридическими лицами, на которых распространяется юрисдикция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въезда в иностранное государство регулируется законодательством соответствующего государства въезда,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выехавшие на постоянное жительство за ее пределы, по возвращении в Кыргызскую Республику на постоянное жительство пользуются на общих основаниях всеми правами, гарантируемыми законодательством Кыргызской Республики, и несут предусмотренные законом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часть 10 статьи 1 проекта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часть 4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определяет дополнительный перечень документов по приему в гражданство Кыргызской Республики в упрощенном порядке, а также в целях исключения дублирования, предлагаем абзацы восьмой-двенадцатый части 12 статьи 1 проекта исключить и в случае необходимости внести соответствующие поправки в часть 4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r>
        <w:rPr>
          <w:rFonts w:ascii="Arial" w:cs="Arial" w:eastAsia="Arial" w:hAnsi="Arial"/>
          <w:sz w:val="24"/>
          <w:szCs w:val="24"/>
        </w:rPr>
        <w:t xml:space="preserve"> вышеназванного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части 4 </w:t>
      </w:r>
      <w:r>
        <w:rPr>
          <w:rFonts w:ascii="Arial" w:cs="Arial" w:eastAsia="Arial" w:hAnsi="Arial"/>
          <w:sz w:val="24"/>
          <w:szCs w:val="24"/>
        </w:rPr>
        <w:t xml:space="preserve">статьи 30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дипломатической службе Кыргызской Республики", согласно которой за консульские услуги, оказываемые на территории Кыргызской Республики и за ее пределами, органы дипломатической службы взимают консульские сборы и сборы за фактические расходы в порядке, установленном нормативными правовыми актами Кыргызской Республики, предлагаем помимо уплаты консульского сбора в статьях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дополнительно предусмотреть уплату сбора за фактические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 отношении отдельных иностранных граждан, желающих получить гражданство Кыргызской Республики, Государственный комитет национальной безопасности Кыргызской Республики может располагать сведениями оперативного характера, существенно влияющими на вопросы обеспечения национальной безопасности страны и охраны общественного порядка, которые в соответствии с национальным законодательством не подлежат разглашению.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данное обстоятельство, а также в целях исключения жалоб, заявлений и судебных исков со стороны иностранных граждан абзац четвертый части 13 статьи 1 проекта Закона, предусматривающий обязательство органов национальной безопасности, в случае несогласия в удовлетворении ходатайства, предоставлять информацию в соответствующие уполномоченные органы об обстоятельствах, препятствующих его удовлетворению, полагаем необходимым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 срокам рассмотрения заявлений, устанавливаемым частью 13 статьи 1 проекта Закона, сообщаем, что в настоящее время процедуру согласования с органами национальной безопасности проходят все без исключения материалы ходатайств иностранных граждан о приеме в гражданство Кыргызской Республики. Как показывает практика, поток иностранных граждан, желающих получить кыргызское гражданство, имеет тенденцию к росту.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предусмотренные абзацем пятым части 13 статьи 1 проекта сроки рассмотрения заявлений иностранных граждан о приеме в гражданство в 30 календарных дней по общему порядку и 15 календарных дней по упрощенному порядку считаем целесообразным увеличить сроками в 60 календарных дней по общему порядку и 30 календарных дней - по упрощенному порядку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 вышеназванную поправку, предлагаем внести в </w:t>
      </w:r>
      <w:r>
        <w:rPr>
          <w:rFonts w:ascii="Arial" w:cs="Arial" w:eastAsia="Arial" w:hAnsi="Arial"/>
          <w:sz w:val="24"/>
          <w:szCs w:val="24"/>
        </w:rPr>
        <w:t xml:space="preserve">статью 37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"до шести месяцев" заменить словами "до одного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"до трех месяцев" заменить словами "до шести месяцев".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предлагаем сохранить действующую редакцию части 3 вышеназванной статьи Закона, поскольку факт усыновления или установления опеки является лишь одним из оснований для изменения гражданства и не может приводить автоматически к самому факту изменения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официальное опубликование и включение в Государственный реестр нормативных правовых актов являются обязательными условиями вступления нормативного правового акта в юридическую силу. Вместе с тем, обеспечить включение нормативного правового акта в Государственный реестр нормативных правовых актов в день его официального опубликования не представляется возможным, ввиду того, что нормативные правовые акты предоставляются в Министерство юстиции Кыргызской Республики для включения в обозначенный Реестр в течение 7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часть 1 статьи 2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по истечении десяти дней со дня официального опубликования.".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с учетом указанных замечаний и предложений.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t6iaahmwdxfdu_5dl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dalil.kg/document/97816</w:t>
      </w:r>
    </w:hyperlink>
  </w:p>
  <w:p>
    <w:pPr>
      <w:spacing w:after="0" w:before="40"/>
      <w:jc w:val="center"/>
    </w:pPr>
    <w:hyperlink w:history="1" r:id="rId15dye0qfx69ad06dijz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wzj58nqmc3yoxlqi5mg" Type="http://schemas.openxmlformats.org/officeDocument/2006/relationships/hyperlink" Target="https://dalil.kg/document/159126" TargetMode="External"/><Relationship Id="rIdz2ju6xvjylpveg1v2nhqq" Type="http://schemas.openxmlformats.org/officeDocument/2006/relationships/hyperlink" Target="https://dalil.kg/document/203685" TargetMode="External"/><Relationship Id="rIdfzbs9jxbbkqbvv5xqgya2" Type="http://schemas.openxmlformats.org/officeDocument/2006/relationships/hyperlink" Target="https://dalil.kg/document/97816#p1" TargetMode="External"/><Relationship Id="rIdkf_ebzudjxwrrp7afmozf" Type="http://schemas.openxmlformats.org/officeDocument/2006/relationships/hyperlink" Target="https://dalil.kg/document/202103" TargetMode="External"/><Relationship Id="rIdwdmwpwbq1baz2gpnbjgt2" Type="http://schemas.openxmlformats.org/officeDocument/2006/relationships/hyperlink" Target="https://dalil.kg/document/978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t6iaahmwdxfdu_5dls0" Type="http://schemas.openxmlformats.org/officeDocument/2006/relationships/hyperlink" Target="https://dalil.kg/document/97816" TargetMode="External"/><Relationship Id="rId15dye0qfx69ad06dijz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2026-09-24T00:44:24.093Z</dcterms:created>
  <dcterms:modified xsi:type="dcterms:W3CDTF">2026-09-24T00:44:24.093Z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