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июля 2015 года № 481</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от 8 августа 2011 года № 454</w:t>
      </w:r>
    </w:p>
    <w:p>
      <w:pPr>
        <w:spacing w:after="120"/>
        <w:jc w:val="both"/>
      </w:pPr>
      <w:r>
        <w:rPr>
          <w:rFonts w:ascii="Arial" w:cs="Arial" w:eastAsia="Arial" w:hAnsi="Arial"/>
          <w:sz w:val="24"/>
          <w:szCs w:val="24"/>
        </w:rPr>
        <w:t xml:space="preserve">В целях, обеспечения сохранности автомобильных дорог и искусственных сооружений на них, контроля за соблюдением грузоперевозчиками требований законодательства Кыргызской Республики в области перевозок грузов транспортными средствами по автомобильным дорогам общего пользования, в соответствии с частью 3 статьи 26 </w:t>
      </w:r>
      <w:hyperlink w:history="1" r:id="rIdgamn8jngw-wovjrvvnyb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автомобильных дорогах"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wi1vaxck8byyfx6h1-_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ne5h_6ttdcefukczwxv">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и </w:t>
      </w:r>
      <w:hyperlink w:history="1" r:id="rId8r0gxf_mulmf_hqrfmczn">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от 8 августа 2011 года № 454 следующие изменения и дополнения:</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 дополнить абзацем шестым следующего содержания:</w:t>
      </w:r>
    </w:p>
    <w:p>
      <w:pPr>
        <w:spacing w:after="120"/>
        <w:jc w:val="both"/>
      </w:pPr>
      <w:r>
        <w:rPr>
          <w:rFonts w:ascii="Arial" w:cs="Arial" w:eastAsia="Arial" w:hAnsi="Arial"/>
          <w:sz w:val="24"/>
          <w:szCs w:val="24"/>
        </w:rPr>
        <w:t xml:space="preserve">"- </w:t>
      </w:r>
      <w:hyperlink w:history="1" r:id="rIdimxjilsqwfviyhn8tn6rr">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w:t>
      </w:r>
    </w:p>
    <w:p>
      <w:pPr>
        <w:spacing w:after="120"/>
        <w:jc w:val="both"/>
      </w:pPr>
      <w:r>
        <w:rPr>
          <w:rFonts w:ascii="Arial" w:cs="Arial" w:eastAsia="Arial" w:hAnsi="Arial"/>
          <w:sz w:val="24"/>
          <w:szCs w:val="24"/>
        </w:rPr>
        <w:t xml:space="preserve">- </w:t>
      </w:r>
      <w:hyperlink w:history="1" r:id="rIdbfsagxqlu767jsjpfv6c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дополнить приложением в редакции согласно </w:t>
      </w:r>
      <w:hyperlink w:history="1" r:id="rIdlmn6kupft-405-cwxwvx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w:t>
      </w:r>
      <w:hyperlink w:history="1" r:id="rIdqfagz0-ojbfs0aeqz2fzs">
        <w:r>
          <w:rPr>
            <w:rFonts w:ascii="Arial" w:cs="Arial" w:eastAsia="Arial" w:hAnsi="Arial"/>
            <w:color w:val="1D4ED8"/>
            <w:sz w:val="24"/>
            <w:szCs w:val="24"/>
            <w:u w:val="single"/>
          </w:rPr>
          <w:t xml:space="preserve">Максимальную общую массу</w:t>
        </w:r>
      </w:hyperlink>
      <w:r>
        <w:rPr>
          <w:rFonts w:ascii="Arial" w:cs="Arial" w:eastAsia="Arial" w:hAnsi="Arial"/>
          <w:sz w:val="24"/>
          <w:szCs w:val="24"/>
        </w:rPr>
        <w:t xml:space="preserve">, осевую нагрузку, размеры и другие линейные параметры автотранспортных средств, предназначенных для передвижения по автомобильным дорогам общего пользования Кыргызской Республики, утвержденные вышеназванным </w:t>
      </w:r>
      <w:hyperlink w:history="1" r:id="rId384j-qm9zinrmege0qv4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7ojjjl70ypqa3hrbb6l-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в </w:t>
      </w:r>
      <w:hyperlink w:history="1" r:id="rIdc9djydj-mimcnl6etn0ku">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утвержденным вышеуказанным </w:t>
      </w:r>
      <w:hyperlink w:history="1" r:id="rIdp7w33tjra9k_fkmjkzpg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пункта 10 изложить в следующей редакции:</w:t>
      </w:r>
    </w:p>
    <w:p>
      <w:pPr>
        <w:spacing w:after="120"/>
        <w:jc w:val="both"/>
      </w:pPr>
      <w:r>
        <w:rPr>
          <w:rFonts w:ascii="Arial" w:cs="Arial" w:eastAsia="Arial" w:hAnsi="Arial"/>
          <w:sz w:val="24"/>
          <w:szCs w:val="24"/>
        </w:rPr>
        <w:t xml:space="preserve">"10. Размеры сборов за пропуск транспортных средств со специальным и неделимым грузом по автомобильным дорогам общего пользования Кыргызской Республики рассчитываются по методике, указанной в пункте 6 Порядка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постановлением Правительства Кыргызской Республики
 от 8 августа 2011 года № 454</w:t>
      </w:r>
    </w:p>
    <w:p>
      <w:pPr>
        <w:spacing w:after="400" w:before="400"/>
        <w:jc w:val="center"/>
      </w:pPr>
      <w:r>
        <w:rPr>
          <w:rFonts w:ascii="Arial" w:cs="Arial" w:eastAsia="Arial" w:hAnsi="Arial"/>
          <w:b/>
          <w:bCs/>
          <w:sz w:val="32"/>
          <w:szCs w:val="32"/>
        </w:rPr>
        <w:t xml:space="preserve">ПОРЯДОК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w:t>
      </w:r>
    </w:p>
    <w:p>
      <w:pPr>
        <w:spacing w:after="60"/>
        <w:ind w:firstLine="567"/>
        <w:jc w:val="both"/>
      </w:pPr>
      <w:r>
        <w:rPr>
          <w:rFonts w:ascii="Arial" w:cs="Arial" w:eastAsia="Arial" w:hAnsi="Arial"/>
          <w:sz w:val="24"/>
          <w:szCs w:val="24"/>
        </w:rPr>
        <w:t xml:space="preserve">1. Настоящий Порядок определяет порядок расчета и взимания платы в счет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владелец транспортного средства - собственник транспортного средства, а также лицо, владеющее транспортным средством на праве хозяйственного ведения или праве оперативного управления либо на ином законном основании;</w:t>
      </w:r>
    </w:p>
    <w:p>
      <w:pPr>
        <w:spacing w:after="60"/>
        <w:ind w:firstLine="567"/>
        <w:jc w:val="both"/>
      </w:pPr>
      <w:r>
        <w:rPr>
          <w:rFonts w:ascii="Arial" w:cs="Arial" w:eastAsia="Arial" w:hAnsi="Arial"/>
          <w:sz w:val="24"/>
          <w:szCs w:val="24"/>
        </w:rPr>
        <w:t xml:space="preserve">транспортное средство - техническое устройство для перевозки людей и/или грузов;</w:t>
      </w:r>
    </w:p>
    <w:p>
      <w:pPr>
        <w:spacing w:after="60"/>
        <w:ind w:firstLine="567"/>
        <w:jc w:val="both"/>
      </w:pPr>
      <w:r>
        <w:rPr>
          <w:rFonts w:ascii="Arial" w:cs="Arial" w:eastAsia="Arial" w:hAnsi="Arial"/>
          <w:sz w:val="24"/>
          <w:szCs w:val="24"/>
        </w:rPr>
        <w:t xml:space="preserve">прицеп - транспортное средство, не оборудованное двигателем и предназначенное для движения в составе с механическим транспортным средством;</w:t>
      </w:r>
    </w:p>
    <w:p>
      <w:pPr>
        <w:spacing w:after="60"/>
        <w:ind w:firstLine="567"/>
        <w:jc w:val="both"/>
      </w:pPr>
      <w:r>
        <w:rPr>
          <w:rFonts w:ascii="Arial" w:cs="Arial" w:eastAsia="Arial" w:hAnsi="Arial"/>
          <w:sz w:val="24"/>
          <w:szCs w:val="24"/>
        </w:rPr>
        <w:t xml:space="preserve">автопоезд - механическое транспортное средство, сцепленное с прицепом (прицепами).</w:t>
      </w:r>
    </w:p>
    <w:p>
      <w:pPr>
        <w:spacing w:after="60"/>
        <w:ind w:firstLine="567"/>
        <w:jc w:val="both"/>
      </w:pPr>
      <w:r>
        <w:rPr>
          <w:rFonts w:ascii="Arial" w:cs="Arial" w:eastAsia="Arial" w:hAnsi="Arial"/>
          <w:sz w:val="24"/>
          <w:szCs w:val="24"/>
        </w:rPr>
        <w:t xml:space="preserve">3. Владельцы транспортных средств, осуществляющих перевозки тяжеловесных и крупногабаритных грузов по автомобильным дорогам общего пользования, возмещают вред и ущерб, причиняемые автомобильным дорогам общего пользования транспортными средствами.</w:t>
      </w:r>
    </w:p>
    <w:p>
      <w:pPr>
        <w:spacing w:after="60"/>
        <w:ind w:firstLine="567"/>
        <w:jc w:val="both"/>
      </w:pPr>
      <w:r>
        <w:rPr>
          <w:rFonts w:ascii="Arial" w:cs="Arial" w:eastAsia="Arial" w:hAnsi="Arial"/>
          <w:sz w:val="24"/>
          <w:szCs w:val="24"/>
        </w:rPr>
        <w:t xml:space="preserve">4. Денежные средства в счет возмещения вреда и ущерба, причиняемого автомобильным дорогам транспортными средствами, осуществляющими перевозки тяжеловесных и крупногабаритных грузов, взимаются работниками стационарных пунктов весогабаритного контроля и мобильных групп весогабаритного контроля.</w:t>
      </w:r>
    </w:p>
    <w:p>
      <w:pPr>
        <w:spacing w:after="60"/>
        <w:ind w:firstLine="567"/>
        <w:jc w:val="both"/>
      </w:pPr>
      <w:r>
        <w:rPr>
          <w:rFonts w:ascii="Arial" w:cs="Arial" w:eastAsia="Arial" w:hAnsi="Arial"/>
          <w:sz w:val="24"/>
          <w:szCs w:val="24"/>
        </w:rPr>
        <w:t xml:space="preserve">5. Размер вреда и ущерба, причиняемый автомобильным дорогам общего пользования,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С × М × L,</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S - размер вреда и ущерба;</w:t>
      </w:r>
    </w:p>
    <w:p>
      <w:pPr>
        <w:spacing w:after="60"/>
        <w:ind w:firstLine="567"/>
        <w:jc w:val="both"/>
      </w:pPr>
      <w:r>
        <w:rPr>
          <w:rFonts w:ascii="Arial" w:cs="Arial" w:eastAsia="Arial" w:hAnsi="Arial"/>
          <w:sz w:val="24"/>
          <w:szCs w:val="24"/>
        </w:rPr>
        <w:t xml:space="preserve">С - размер ставки 1 тонны перегруза на 1 км проезда, сом;</w:t>
      </w:r>
    </w:p>
    <w:p>
      <w:pPr>
        <w:spacing w:after="60"/>
        <w:ind w:firstLine="567"/>
        <w:jc w:val="both"/>
      </w:pPr>
      <w:r>
        <w:rPr>
          <w:rFonts w:ascii="Arial" w:cs="Arial" w:eastAsia="Arial" w:hAnsi="Arial"/>
          <w:sz w:val="24"/>
          <w:szCs w:val="24"/>
        </w:rPr>
        <w:t xml:space="preserve">М - разница между установленной нормами осевых нагрузок и фактическими значениями на момент взвешивания по каждой оси транспортного средства в сумме (округляется до десятой доли), тонна;</w:t>
      </w:r>
    </w:p>
    <w:p>
      <w:pPr>
        <w:spacing w:after="60"/>
        <w:ind w:firstLine="567"/>
        <w:jc w:val="both"/>
      </w:pPr>
      <w:r>
        <w:rPr>
          <w:rFonts w:ascii="Arial" w:cs="Arial" w:eastAsia="Arial" w:hAnsi="Arial"/>
          <w:sz w:val="24"/>
          <w:szCs w:val="24"/>
        </w:rPr>
        <w:t xml:space="preserve">L - расстояние перевозки (округляется до десятой доли), км.</w:t>
      </w:r>
    </w:p>
    <w:p>
      <w:pPr>
        <w:spacing w:after="60"/>
        <w:ind w:firstLine="567"/>
        <w:jc w:val="both"/>
      </w:pPr>
      <w:r>
        <w:rPr>
          <w:rFonts w:ascii="Arial" w:cs="Arial" w:eastAsia="Arial" w:hAnsi="Arial"/>
          <w:sz w:val="24"/>
          <w:szCs w:val="24"/>
        </w:rPr>
        <w:t xml:space="preserve">6. Размер ставки 1 тонны перегруза на 1 км проезда (далее размер ставки) на 2015 год определен в размере 20 сомов.</w:t>
      </w:r>
    </w:p>
    <w:p>
      <w:pPr>
        <w:spacing w:after="60"/>
        <w:ind w:firstLine="567"/>
        <w:jc w:val="both"/>
      </w:pPr>
      <w:r>
        <w:rPr>
          <w:rFonts w:ascii="Arial" w:cs="Arial" w:eastAsia="Arial" w:hAnsi="Arial"/>
          <w:sz w:val="24"/>
          <w:szCs w:val="24"/>
        </w:rPr>
        <w:t xml:space="preserve">7. Расстояние перевозки определяется по накладным документам на груз от фактически пройденного транспортным средством расстояния по автомобильным дорогам общего пользования и расстояния до пункта назначения груза.</w:t>
      </w:r>
    </w:p>
    <w:p>
      <w:pPr>
        <w:spacing w:after="60"/>
        <w:ind w:firstLine="567"/>
        <w:jc w:val="both"/>
      </w:pPr>
      <w:r>
        <w:rPr>
          <w:rFonts w:ascii="Arial" w:cs="Arial" w:eastAsia="Arial" w:hAnsi="Arial"/>
          <w:sz w:val="24"/>
          <w:szCs w:val="24"/>
        </w:rPr>
        <w:t xml:space="preserve">8. Размер ставки на последующие годы определяется по следующей методике:</w:t>
      </w:r>
    </w:p>
    <w:p>
      <w:pPr>
        <w:spacing w:after="120"/>
        <w:ind w:firstLine="567"/>
        <w:jc w:val="both"/>
      </w:pPr>
      <w:r>
        <w:rPr>
          <w:rFonts w:ascii="Arial" w:cs="Arial" w:eastAsia="Arial" w:hAnsi="Arial"/>
          <w:sz w:val="24"/>
          <w:szCs w:val="24"/>
        </w:rPr>
        <w:t xml:space="preserve">размер ставки зависит от цен на дизельное топливо, дорожный битум, щебень и средней заработной платы дорожных рабочих в процентном соотношении в следующем виде:</w:t>
      </w:r>
    </w:p>
    <w:p>
      <w:pPr>
        <w:tabs>
          <w:tab w:val="right" w:pos="10178"/>
        </w:tabs>
        <w:spacing w:after="120"/>
      </w:pPr>
      <w:r>
        <w:rPr>
          <w:rFonts w:ascii="Arial" w:cs="Arial" w:eastAsia="Arial" w:hAnsi="Arial"/>
          <w:sz w:val="24"/>
          <w:szCs w:val="24"/>
        </w:rPr>
        <w:t xml:space="preserve">- дизельное топливо</w:t>
      </w:r>
      <w:r>
        <w:rPr>
          <w:rFonts w:ascii="Arial" w:cs="Arial" w:eastAsia="Arial" w:hAnsi="Arial"/>
          <w:sz w:val="24"/>
          <w:szCs w:val="24"/>
        </w:rPr>
        <w:t xml:space="preserve">	</w:t>
      </w:r>
      <w:r>
        <w:rPr>
          <w:rFonts w:ascii="Arial" w:cs="Arial" w:eastAsia="Arial" w:hAnsi="Arial"/>
          <w:sz w:val="24"/>
          <w:szCs w:val="24"/>
        </w:rPr>
        <w:t xml:space="preserve">3,14 сома;</w:t>
      </w:r>
    </w:p>
    <w:p>
      <w:pPr>
        <w:tabs>
          <w:tab w:val="right" w:pos="10178"/>
        </w:tabs>
        <w:spacing w:after="120"/>
      </w:pPr>
      <w:r>
        <w:rPr>
          <w:rFonts w:ascii="Arial" w:cs="Arial" w:eastAsia="Arial" w:hAnsi="Arial"/>
          <w:sz w:val="24"/>
          <w:szCs w:val="24"/>
        </w:rPr>
        <w:t xml:space="preserve">- битум</w:t>
      </w:r>
      <w:r>
        <w:rPr>
          <w:rFonts w:ascii="Arial" w:cs="Arial" w:eastAsia="Arial" w:hAnsi="Arial"/>
          <w:sz w:val="24"/>
          <w:szCs w:val="24"/>
        </w:rPr>
        <w:t xml:space="preserve">	</w:t>
      </w:r>
      <w:r>
        <w:rPr>
          <w:rFonts w:ascii="Arial" w:cs="Arial" w:eastAsia="Arial" w:hAnsi="Arial"/>
          <w:sz w:val="24"/>
          <w:szCs w:val="24"/>
        </w:rPr>
        <w:t xml:space="preserve">10,22 сома;</w:t>
      </w:r>
    </w:p>
    <w:p>
      <w:pPr>
        <w:tabs>
          <w:tab w:val="right" w:pos="10178"/>
        </w:tabs>
        <w:spacing w:after="120"/>
      </w:pPr>
      <w:r>
        <w:rPr>
          <w:rFonts w:ascii="Arial" w:cs="Arial" w:eastAsia="Arial" w:hAnsi="Arial"/>
          <w:sz w:val="24"/>
          <w:szCs w:val="24"/>
        </w:rPr>
        <w:t xml:space="preserve">- щебень, отсев и гравий</w:t>
      </w:r>
      <w:r>
        <w:rPr>
          <w:rFonts w:ascii="Arial" w:cs="Arial" w:eastAsia="Arial" w:hAnsi="Arial"/>
          <w:sz w:val="24"/>
          <w:szCs w:val="24"/>
        </w:rPr>
        <w:t xml:space="preserve">	</w:t>
      </w:r>
      <w:r>
        <w:rPr>
          <w:rFonts w:ascii="Arial" w:cs="Arial" w:eastAsia="Arial" w:hAnsi="Arial"/>
          <w:sz w:val="24"/>
          <w:szCs w:val="24"/>
        </w:rPr>
        <w:t xml:space="preserve">4,64 сома;</w:t>
      </w:r>
    </w:p>
    <w:p>
      <w:pPr>
        <w:tabs>
          <w:tab w:val="right" w:pos="10178"/>
        </w:tabs>
        <w:spacing w:after="120"/>
      </w:pPr>
      <w:r>
        <w:rPr>
          <w:rFonts w:ascii="Arial" w:cs="Arial" w:eastAsia="Arial" w:hAnsi="Arial"/>
          <w:sz w:val="24"/>
          <w:szCs w:val="24"/>
        </w:rPr>
        <w:t xml:space="preserve">- заработная плата</w:t>
      </w:r>
      <w:r>
        <w:rPr>
          <w:rFonts w:ascii="Arial" w:cs="Arial" w:eastAsia="Arial" w:hAnsi="Arial"/>
          <w:sz w:val="24"/>
          <w:szCs w:val="24"/>
        </w:rPr>
        <w:t xml:space="preserve">	</w:t>
      </w:r>
      <w:r>
        <w:rPr>
          <w:rFonts w:ascii="Arial" w:cs="Arial" w:eastAsia="Arial" w:hAnsi="Arial"/>
          <w:sz w:val="24"/>
          <w:szCs w:val="24"/>
        </w:rPr>
        <w:t xml:space="preserve">2,0 сома;</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20 сома.</w:t>
      </w:r>
    </w:p>
    <w:p>
      <w:pPr>
        <w:spacing w:after="60" w:before="120"/>
        <w:ind w:firstLine="567"/>
        <w:jc w:val="both"/>
      </w:pPr>
      <w:r>
        <w:rPr>
          <w:rFonts w:ascii="Arial" w:cs="Arial" w:eastAsia="Arial" w:hAnsi="Arial"/>
          <w:sz w:val="24"/>
          <w:szCs w:val="24"/>
        </w:rPr>
        <w:t xml:space="preserve">Размер ставки определяется с использованием величины изменения (в процентах) </w:t>
      </w:r>
      <w:r>
        <w:rPr>
          <w:rFonts w:ascii="Arial" w:cs="Arial" w:eastAsia="Arial" w:hAnsi="Arial"/>
          <w:sz w:val="24"/>
          <w:szCs w:val="24"/>
        </w:rPr>
        <w:t xml:space="preserve">среднестатистических закупочных цен на дизельное топливо, дорожный битум, щебень и среднестатистической заработной платы по республике относительно базового года (2015 года) по следующей формуле:</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 </w:t>
      </w:r>
      <w:r>
        <w:rPr>
          <w:rFonts w:ascii="Arial" w:cs="Arial" w:eastAsia="Arial" w:hAnsi="Arial"/>
          <w:sz w:val="24"/>
          <w:szCs w:val="24"/>
        </w:rPr>
        <w:t xml:space="preserve">C</w:t>
      </w:r>
      <w:r>
        <w:rPr>
          <w:rFonts w:ascii="Arial" w:cs="Arial" w:eastAsia="Arial" w:hAnsi="Arial"/>
          <w:sz w:val="24"/>
          <w:szCs w:val="24"/>
        </w:rPr>
        <w:t xml:space="preserve">б.г.</w:t>
      </w:r>
      <w:r>
        <w:rPr>
          <w:rFonts w:ascii="Arial" w:cs="Arial" w:eastAsia="Arial" w:hAnsi="Arial"/>
          <w:sz w:val="24"/>
          <w:szCs w:val="24"/>
        </w:rPr>
        <w:t xml:space="preserve"> + 9,4*</w:t>
      </w:r>
      <w:r>
        <w:rPr>
          <w:rFonts w:ascii="Arial" w:cs="Arial" w:eastAsia="Arial" w:hAnsi="Arial"/>
          <w:sz w:val="24"/>
          <w:szCs w:val="24"/>
        </w:rPr>
        <w:t xml:space="preserve">S</w:t>
      </w:r>
      <w:r>
        <w:rPr>
          <w:rFonts w:ascii="Arial" w:cs="Arial" w:eastAsia="Arial" w:hAnsi="Arial"/>
          <w:sz w:val="24"/>
          <w:szCs w:val="24"/>
        </w:rPr>
        <w:t xml:space="preserve">д.т. </w:t>
      </w:r>
      <w:r>
        <w:rPr>
          <w:rFonts w:ascii="Arial" w:cs="Arial" w:eastAsia="Arial" w:hAnsi="Arial"/>
          <w:sz w:val="24"/>
          <w:szCs w:val="24"/>
        </w:rPr>
        <w:t xml:space="preserve">+ 30,7*</w:t>
      </w:r>
      <w:r>
        <w:rPr>
          <w:rFonts w:ascii="Arial" w:cs="Arial" w:eastAsia="Arial" w:hAnsi="Arial"/>
          <w:sz w:val="24"/>
          <w:szCs w:val="24"/>
        </w:rPr>
        <w:t xml:space="preserve">S</w:t>
      </w:r>
      <w:r>
        <w:rPr>
          <w:rFonts w:ascii="Arial" w:cs="Arial" w:eastAsia="Arial" w:hAnsi="Arial"/>
          <w:sz w:val="24"/>
          <w:szCs w:val="24"/>
        </w:rPr>
        <w:t xml:space="preserve">д.б.</w:t>
      </w:r>
      <w:r>
        <w:rPr>
          <w:rFonts w:ascii="Arial" w:cs="Arial" w:eastAsia="Arial" w:hAnsi="Arial"/>
          <w:sz w:val="24"/>
          <w:szCs w:val="24"/>
        </w:rPr>
        <w:t xml:space="preserve"> + 13,9*</w:t>
      </w:r>
      <w:r>
        <w:rPr>
          <w:rFonts w:ascii="Arial" w:cs="Arial" w:eastAsia="Arial" w:hAnsi="Arial"/>
          <w:sz w:val="24"/>
          <w:szCs w:val="24"/>
        </w:rPr>
        <w:t xml:space="preserve">S</w:t>
      </w:r>
      <w:r>
        <w:rPr>
          <w:rFonts w:ascii="Arial" w:cs="Arial" w:eastAsia="Arial" w:hAnsi="Arial"/>
          <w:sz w:val="24"/>
          <w:szCs w:val="24"/>
        </w:rPr>
        <w:t xml:space="preserve">щ</w:t>
      </w:r>
      <w:r>
        <w:rPr>
          <w:rFonts w:ascii="Arial" w:cs="Arial" w:eastAsia="Arial" w:hAnsi="Arial"/>
          <w:sz w:val="24"/>
          <w:szCs w:val="24"/>
        </w:rPr>
        <w:t xml:space="preserve">. + 6,0*</w:t>
      </w:r>
      <w:r>
        <w:rPr>
          <w:rFonts w:ascii="Arial" w:cs="Arial" w:eastAsia="Arial" w:hAnsi="Arial"/>
          <w:sz w:val="24"/>
          <w:szCs w:val="24"/>
        </w:rPr>
        <w:t xml:space="preserve">S</w:t>
      </w:r>
      <w:r>
        <w:rPr>
          <w:rFonts w:ascii="Arial" w:cs="Arial" w:eastAsia="Arial" w:hAnsi="Arial"/>
          <w:sz w:val="24"/>
          <w:szCs w:val="24"/>
        </w:rPr>
        <w:t xml:space="preserve">з.п.</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б.г.</w:t>
      </w:r>
      <w:r>
        <w:rPr>
          <w:rFonts w:ascii="Arial" w:cs="Arial" w:eastAsia="Arial" w:hAnsi="Arial"/>
          <w:sz w:val="24"/>
          <w:szCs w:val="24"/>
        </w:rPr>
        <w:t xml:space="preserve"> - размер ставки на 2015 год;</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д.т.</w:t>
      </w:r>
      <w:r>
        <w:rPr>
          <w:rFonts w:ascii="Arial" w:cs="Arial" w:eastAsia="Arial" w:hAnsi="Arial"/>
          <w:sz w:val="24"/>
          <w:szCs w:val="24"/>
        </w:rPr>
        <w:t xml:space="preserve"> - изменение среднестатистической цены на дизельное топливо относительно 2015 года, в процентах;</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д.б.</w:t>
      </w:r>
      <w:r>
        <w:rPr>
          <w:rFonts w:ascii="Arial" w:cs="Arial" w:eastAsia="Arial" w:hAnsi="Arial"/>
          <w:sz w:val="24"/>
          <w:szCs w:val="24"/>
        </w:rPr>
        <w:t xml:space="preserve"> - изменение среднестатистической цены на дорожный битум относительно 2015 года, в процентах;</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щ.</w:t>
      </w:r>
      <w:r>
        <w:rPr>
          <w:rFonts w:ascii="Arial" w:cs="Arial" w:eastAsia="Arial" w:hAnsi="Arial"/>
          <w:sz w:val="24"/>
          <w:szCs w:val="24"/>
        </w:rPr>
        <w:t xml:space="preserve"> - изменение среднестатистической цены на щебень относительно 2015 года, в процентах;</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з.п</w:t>
      </w:r>
      <w:r>
        <w:rPr>
          <w:rFonts w:ascii="Arial" w:cs="Arial" w:eastAsia="Arial" w:hAnsi="Arial"/>
          <w:sz w:val="24"/>
          <w:szCs w:val="24"/>
        </w:rPr>
        <w:t xml:space="preserve"> - изменение среднестатистической заработной платы относительно 2015 года, в процентах.</w:t>
      </w:r>
    </w:p>
    <w:p>
      <w:pPr>
        <w:spacing w:after="60"/>
        <w:ind w:firstLine="567"/>
        <w:jc w:val="both"/>
      </w:pPr>
      <w:r>
        <w:rPr>
          <w:rFonts w:ascii="Arial" w:cs="Arial" w:eastAsia="Arial" w:hAnsi="Arial"/>
          <w:sz w:val="24"/>
          <w:szCs w:val="24"/>
        </w:rPr>
        <w:t xml:space="preserve">9. Владелец транспортного средства для внесения денежных средств в счет возмещения вреда и ущерба обязан представить следующие документы и информацию:</w:t>
      </w:r>
    </w:p>
    <w:p>
      <w:pPr>
        <w:spacing w:after="60"/>
        <w:ind w:firstLine="567"/>
        <w:jc w:val="both"/>
      </w:pPr>
      <w:r>
        <w:rPr>
          <w:rFonts w:ascii="Arial" w:cs="Arial" w:eastAsia="Arial" w:hAnsi="Arial"/>
          <w:sz w:val="24"/>
          <w:szCs w:val="24"/>
        </w:rPr>
        <w:t xml:space="preserve">- паспорт владельца транспортного средства;</w:t>
      </w:r>
    </w:p>
    <w:p>
      <w:pPr>
        <w:spacing w:after="60"/>
        <w:ind w:firstLine="567"/>
        <w:jc w:val="both"/>
      </w:pPr>
      <w:r>
        <w:rPr>
          <w:rFonts w:ascii="Arial" w:cs="Arial" w:eastAsia="Arial" w:hAnsi="Arial"/>
          <w:sz w:val="24"/>
          <w:szCs w:val="24"/>
        </w:rPr>
        <w:t xml:space="preserve">- технический паспорт транспортного средства;</w:t>
      </w:r>
    </w:p>
    <w:p>
      <w:pPr>
        <w:spacing w:after="60"/>
        <w:ind w:firstLine="567"/>
        <w:jc w:val="both"/>
      </w:pPr>
      <w:r>
        <w:rPr>
          <w:rFonts w:ascii="Arial" w:cs="Arial" w:eastAsia="Arial" w:hAnsi="Arial"/>
          <w:sz w:val="24"/>
          <w:szCs w:val="24"/>
        </w:rPr>
        <w:t xml:space="preserve">- технический паспорт прицепа;</w:t>
      </w:r>
    </w:p>
    <w:p>
      <w:pPr>
        <w:spacing w:after="60"/>
        <w:ind w:firstLine="567"/>
        <w:jc w:val="both"/>
      </w:pPr>
      <w:r>
        <w:rPr>
          <w:rFonts w:ascii="Arial" w:cs="Arial" w:eastAsia="Arial" w:hAnsi="Arial"/>
          <w:sz w:val="24"/>
          <w:szCs w:val="24"/>
        </w:rPr>
        <w:t xml:space="preserve">- накладные документы на груз;</w:t>
      </w:r>
    </w:p>
    <w:p>
      <w:pPr>
        <w:spacing w:after="60"/>
        <w:ind w:firstLine="567"/>
        <w:jc w:val="both"/>
      </w:pPr>
      <w:r>
        <w:rPr>
          <w:rFonts w:ascii="Arial" w:cs="Arial" w:eastAsia="Arial" w:hAnsi="Arial"/>
          <w:sz w:val="24"/>
          <w:szCs w:val="24"/>
        </w:rPr>
        <w:t xml:space="preserve">- сведения о пунктах отправки и назначения груза.</w:t>
      </w:r>
    </w:p>
    <w:p>
      <w:pPr>
        <w:spacing w:after="60"/>
        <w:ind w:firstLine="567"/>
        <w:jc w:val="both"/>
      </w:pPr>
      <w:r>
        <w:rPr>
          <w:rFonts w:ascii="Arial" w:cs="Arial" w:eastAsia="Arial" w:hAnsi="Arial"/>
          <w:sz w:val="24"/>
          <w:szCs w:val="24"/>
        </w:rPr>
        <w:t xml:space="preserve">10. В случае отказа владельца транспортного средства оплатить сумму возмещения вреда и ущерба данная сумма взыскивается в судебном порядке.</w:t>
      </w:r>
    </w:p>
    <w:p>
      <w:pPr>
        <w:spacing w:after="60"/>
        <w:ind w:firstLine="567"/>
        <w:jc w:val="both"/>
      </w:pPr>
      <w:r>
        <w:rPr>
          <w:rFonts w:ascii="Arial" w:cs="Arial" w:eastAsia="Arial" w:hAnsi="Arial"/>
          <w:sz w:val="24"/>
          <w:szCs w:val="24"/>
        </w:rPr>
        <w:t xml:space="preserve">11. Денежные средства в счет возмещения вреда и ущерба поступают в доходную часть республиканского бюджета.</w:t>
      </w:r>
    </w:p>
    <w:p>
      <w:pPr>
        <w:spacing w:after="60"/>
        <w:ind w:firstLine="567"/>
        <w:jc w:val="both"/>
      </w:pPr>
      <w:r>
        <w:rPr>
          <w:rFonts w:ascii="Arial" w:cs="Arial" w:eastAsia="Arial" w:hAnsi="Arial"/>
          <w:sz w:val="24"/>
          <w:szCs w:val="24"/>
        </w:rPr>
        <w:t xml:space="preserve">12. Автотранспортные средства, выполняющие перевозки по доставке гуманитарной помощи, а также автотранспортные средства Министерства чрезвычайных ситуаций Кыргызской Республики и Министерства обороны Кыргызской Республики освобождаются от возмещения вреда и ущерба, причиняемый автомобильным дорогам транспортными средствами, осуществляющими перевозки тяжеловесных и крупногабаритных грузов.".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постановлением Правительства Кыргызской Республики
 от 8 августа 2011 года № 454</w:t>
      </w:r>
    </w:p>
    <w:p>
      <w:pPr>
        <w:spacing w:after="400" w:before="400"/>
        <w:jc w:val="center"/>
      </w:pPr>
      <w:r>
        <w:rPr>
          <w:rFonts w:ascii="Arial" w:cs="Arial" w:eastAsia="Arial" w:hAnsi="Arial"/>
          <w:b/>
          <w:bCs/>
          <w:sz w:val="32"/>
          <w:szCs w:val="32"/>
        </w:rPr>
        <w:t xml:space="preserve">Максимальная общая масса, осевая нагрузка, размеры и другие линейные параметры автотранспортных средств, предназначенных для передвижения по автомобильным дорогам общего пользования Кыргызской Республики</w:t>
      </w:r>
    </w:p>
    <w:p>
      <w:pPr>
        <w:spacing w:after="200" w:before="200"/>
        <w:jc w:val="center"/>
      </w:pPr>
      <w:r>
        <w:rPr>
          <w:rFonts w:ascii="Arial" w:cs="Arial" w:eastAsia="Arial" w:hAnsi="Arial"/>
          <w:b/>
          <w:bCs/>
          <w:sz w:val="32"/>
          <w:szCs w:val="32"/>
        </w:rPr>
        <w:t xml:space="preserve">1. Максимальная общая масса транспортных средств</w:t>
      </w:r>
    </w:p>
    <w:p>
      <w:pPr>
        <w:spacing w:after="60"/>
        <w:ind w:firstLine="567"/>
        <w:jc w:val="both"/>
      </w:pPr>
      <w:r>
        <w:rPr>
          <w:rFonts w:ascii="Arial" w:cs="Arial" w:eastAsia="Arial" w:hAnsi="Arial"/>
          <w:sz w:val="24"/>
          <w:szCs w:val="24"/>
        </w:rPr>
        <w:t xml:space="preserve">1. Максимальная общая масса транспортных средств должна соответствовать следующим значениям:</w:t>
      </w:r>
    </w:p>
    <w:p>
      <w:pPr>
        <w:spacing w:after="60"/>
        <w:ind w:firstLine="567"/>
        <w:jc w:val="both"/>
      </w:pPr>
      <w:r>
        <w:rPr>
          <w:rFonts w:ascii="Arial" w:cs="Arial" w:eastAsia="Arial" w:hAnsi="Arial"/>
          <w:sz w:val="24"/>
          <w:szCs w:val="24"/>
        </w:rPr>
        <w:t xml:space="preserve">1.1. Грузовые автомобили:</w:t>
      </w:r>
    </w:p>
    <w:p>
      <w:pPr>
        <w:spacing w:after="60"/>
        <w:ind w:firstLine="567"/>
        <w:jc w:val="both"/>
      </w:pPr>
      <w:r>
        <w:rPr>
          <w:rFonts w:ascii="Arial" w:cs="Arial" w:eastAsia="Arial" w:hAnsi="Arial"/>
          <w:sz w:val="24"/>
          <w:szCs w:val="24"/>
        </w:rPr>
        <w:t xml:space="preserve">- двухосный автомобиль - 18 т;</w:t>
      </w:r>
    </w:p>
    <w:p>
      <w:pPr>
        <w:spacing w:after="60"/>
        <w:ind w:firstLine="567"/>
        <w:jc w:val="both"/>
      </w:pPr>
      <w:r>
        <w:rPr>
          <w:rFonts w:ascii="Arial" w:cs="Arial" w:eastAsia="Arial" w:hAnsi="Arial"/>
          <w:sz w:val="24"/>
          <w:szCs w:val="24"/>
        </w:rPr>
        <w:t xml:space="preserve">- трехосный автомобиль - 25 т;</w:t>
      </w:r>
    </w:p>
    <w:p>
      <w:pPr>
        <w:spacing w:after="60"/>
        <w:ind w:firstLine="567"/>
        <w:jc w:val="both"/>
      </w:pPr>
      <w:r>
        <w:rPr>
          <w:rFonts w:ascii="Arial" w:cs="Arial" w:eastAsia="Arial" w:hAnsi="Arial"/>
          <w:sz w:val="24"/>
          <w:szCs w:val="24"/>
        </w:rPr>
        <w:t xml:space="preserve">- четырехосный автомобиль с двумя ведущими осями, каждая из которых состоит из двух пар колес и имеет воздушную или эквивалентную ей подвеску - 32 т.</w:t>
      </w:r>
    </w:p>
    <w:p>
      <w:pPr>
        <w:spacing w:after="60"/>
        <w:ind w:firstLine="567"/>
        <w:jc w:val="both"/>
      </w:pPr>
      <w:r>
        <w:rPr>
          <w:rFonts w:ascii="Arial" w:cs="Arial" w:eastAsia="Arial" w:hAnsi="Arial"/>
          <w:sz w:val="24"/>
          <w:szCs w:val="24"/>
        </w:rPr>
        <w:t xml:space="preserve">1.2. Транспортные средства, образующие часть комбинированного транспортного средства:</w:t>
      </w:r>
    </w:p>
    <w:p>
      <w:pPr>
        <w:spacing w:after="60"/>
        <w:ind w:firstLine="567"/>
        <w:jc w:val="both"/>
      </w:pPr>
      <w:r>
        <w:rPr>
          <w:rFonts w:ascii="Arial" w:cs="Arial" w:eastAsia="Arial" w:hAnsi="Arial"/>
          <w:sz w:val="24"/>
          <w:szCs w:val="24"/>
        </w:rPr>
        <w:t xml:space="preserve">- двухосный прицеп - 18 т;</w:t>
      </w:r>
    </w:p>
    <w:p>
      <w:pPr>
        <w:spacing w:after="60"/>
        <w:ind w:firstLine="567"/>
        <w:jc w:val="both"/>
      </w:pPr>
      <w:r>
        <w:rPr>
          <w:rFonts w:ascii="Arial" w:cs="Arial" w:eastAsia="Arial" w:hAnsi="Arial"/>
          <w:sz w:val="24"/>
          <w:szCs w:val="24"/>
        </w:rPr>
        <w:t xml:space="preserve">- трехосный прицеп - 25 т.</w:t>
      </w:r>
    </w:p>
    <w:p>
      <w:pPr>
        <w:spacing w:after="60"/>
        <w:ind w:firstLine="567"/>
        <w:jc w:val="both"/>
      </w:pPr>
      <w:r>
        <w:rPr>
          <w:rFonts w:ascii="Arial" w:cs="Arial" w:eastAsia="Arial" w:hAnsi="Arial"/>
          <w:sz w:val="24"/>
          <w:szCs w:val="24"/>
        </w:rPr>
        <w:t xml:space="preserve">1.3. Комбинированные транспортные средства:</w:t>
      </w:r>
    </w:p>
    <w:p>
      <w:pPr>
        <w:spacing w:after="60"/>
        <w:ind w:firstLine="567"/>
        <w:jc w:val="both"/>
      </w:pPr>
      <w:r>
        <w:rPr>
          <w:rFonts w:ascii="Arial" w:cs="Arial" w:eastAsia="Arial" w:hAnsi="Arial"/>
          <w:sz w:val="24"/>
          <w:szCs w:val="24"/>
        </w:rPr>
        <w:t xml:space="preserve">1.3.1. Седельные автопоезда:</w:t>
      </w:r>
    </w:p>
    <w:p>
      <w:pPr>
        <w:spacing w:after="60"/>
        <w:ind w:firstLine="567"/>
        <w:jc w:val="both"/>
      </w:pPr>
      <w:r>
        <w:rPr>
          <w:rFonts w:ascii="Arial" w:cs="Arial" w:eastAsia="Arial" w:hAnsi="Arial"/>
          <w:sz w:val="24"/>
          <w:szCs w:val="24"/>
        </w:rPr>
        <w:t xml:space="preserve">- двухосный тягач с двухосным полуприцепом при расстоянии между осями полуприцепа 1,3 и более метра, но не более 1,8 метра - 36 т;</w:t>
      </w:r>
    </w:p>
    <w:p>
      <w:pPr>
        <w:spacing w:after="60"/>
        <w:ind w:firstLine="567"/>
        <w:jc w:val="both"/>
      </w:pPr>
      <w:r>
        <w:rPr>
          <w:rFonts w:ascii="Arial" w:cs="Arial" w:eastAsia="Arial" w:hAnsi="Arial"/>
          <w:sz w:val="24"/>
          <w:szCs w:val="24"/>
        </w:rPr>
        <w:t xml:space="preserve">- двухосный тягач с двухосным полуприцепом, при расстоянии между осями полуприцепа, превышающем 1,8 метра - 38 т;</w:t>
      </w:r>
    </w:p>
    <w:p>
      <w:pPr>
        <w:spacing w:after="60"/>
        <w:ind w:firstLine="567"/>
        <w:jc w:val="both"/>
      </w:pPr>
      <w:r>
        <w:rPr>
          <w:rFonts w:ascii="Arial" w:cs="Arial" w:eastAsia="Arial" w:hAnsi="Arial"/>
          <w:sz w:val="24"/>
          <w:szCs w:val="24"/>
        </w:rPr>
        <w:t xml:space="preserve">- двухосный тягач с трехосным полуприцепом - 38 т;</w:t>
      </w:r>
    </w:p>
    <w:p>
      <w:pPr>
        <w:spacing w:after="60"/>
        <w:ind w:firstLine="567"/>
        <w:jc w:val="both"/>
      </w:pPr>
      <w:r>
        <w:rPr>
          <w:rFonts w:ascii="Arial" w:cs="Arial" w:eastAsia="Arial" w:hAnsi="Arial"/>
          <w:sz w:val="24"/>
          <w:szCs w:val="24"/>
        </w:rPr>
        <w:t xml:space="preserve">- трехосный тягач с двухосным полуприцепом - 38 т;</w:t>
      </w:r>
    </w:p>
    <w:p>
      <w:pPr>
        <w:spacing w:after="60"/>
        <w:ind w:firstLine="567"/>
        <w:jc w:val="both"/>
      </w:pPr>
      <w:r>
        <w:rPr>
          <w:rFonts w:ascii="Arial" w:cs="Arial" w:eastAsia="Arial" w:hAnsi="Arial"/>
          <w:sz w:val="24"/>
          <w:szCs w:val="24"/>
        </w:rPr>
        <w:t xml:space="preserve">- трехосный тягач с трехосным полуприцепом - 44 т.</w:t>
      </w:r>
    </w:p>
    <w:p>
      <w:pPr>
        <w:spacing w:after="60"/>
        <w:ind w:firstLine="567"/>
        <w:jc w:val="both"/>
      </w:pPr>
      <w:r>
        <w:rPr>
          <w:rFonts w:ascii="Arial" w:cs="Arial" w:eastAsia="Arial" w:hAnsi="Arial"/>
          <w:sz w:val="24"/>
          <w:szCs w:val="24"/>
        </w:rPr>
        <w:t xml:space="preserve">1.3.2. Прицепные автопоезда:</w:t>
      </w:r>
    </w:p>
    <w:p>
      <w:pPr>
        <w:spacing w:after="60"/>
        <w:ind w:firstLine="567"/>
        <w:jc w:val="both"/>
      </w:pPr>
      <w:r>
        <w:rPr>
          <w:rFonts w:ascii="Arial" w:cs="Arial" w:eastAsia="Arial" w:hAnsi="Arial"/>
          <w:sz w:val="24"/>
          <w:szCs w:val="24"/>
        </w:rPr>
        <w:t xml:space="preserve">- двухосный грузовой автомобиль с двухосным прицепом - 36 т;</w:t>
      </w:r>
    </w:p>
    <w:p>
      <w:pPr>
        <w:spacing w:after="60"/>
        <w:ind w:firstLine="567"/>
        <w:jc w:val="both"/>
      </w:pPr>
      <w:r>
        <w:rPr>
          <w:rFonts w:ascii="Arial" w:cs="Arial" w:eastAsia="Arial" w:hAnsi="Arial"/>
          <w:sz w:val="24"/>
          <w:szCs w:val="24"/>
        </w:rPr>
        <w:t xml:space="preserve">- двухосный грузовой автомобиль с трехосным прицепом - 42 т;</w:t>
      </w:r>
    </w:p>
    <w:p>
      <w:pPr>
        <w:spacing w:after="60"/>
        <w:ind w:firstLine="567"/>
        <w:jc w:val="both"/>
      </w:pPr>
      <w:r>
        <w:rPr>
          <w:rFonts w:ascii="Arial" w:cs="Arial" w:eastAsia="Arial" w:hAnsi="Arial"/>
          <w:sz w:val="24"/>
          <w:szCs w:val="24"/>
        </w:rPr>
        <w:t xml:space="preserve">- трехосный грузовой автомобиль с двухосным прицепом - 42 т;</w:t>
      </w:r>
    </w:p>
    <w:p>
      <w:pPr>
        <w:spacing w:after="60"/>
        <w:ind w:firstLine="567"/>
        <w:jc w:val="both"/>
      </w:pPr>
      <w:r>
        <w:rPr>
          <w:rFonts w:ascii="Arial" w:cs="Arial" w:eastAsia="Arial" w:hAnsi="Arial"/>
          <w:sz w:val="24"/>
          <w:szCs w:val="24"/>
        </w:rPr>
        <w:t xml:space="preserve">- трехосный грузовой автомобиль с трехосным прицепом - 44 т;</w:t>
      </w:r>
    </w:p>
    <w:p>
      <w:pPr>
        <w:spacing w:after="60"/>
        <w:ind w:firstLine="567"/>
        <w:jc w:val="both"/>
      </w:pPr>
      <w:r>
        <w:rPr>
          <w:rFonts w:ascii="Arial" w:cs="Arial" w:eastAsia="Arial" w:hAnsi="Arial"/>
          <w:sz w:val="24"/>
          <w:szCs w:val="24"/>
        </w:rPr>
        <w:t xml:space="preserve">- трехосный грузовой автомобиль с четырехосным прицепом - 44 т.</w:t>
      </w:r>
    </w:p>
    <w:p>
      <w:pPr>
        <w:spacing w:after="60"/>
        <w:ind w:firstLine="567"/>
        <w:jc w:val="both"/>
      </w:pPr>
      <w:r>
        <w:rPr>
          <w:rFonts w:ascii="Arial" w:cs="Arial" w:eastAsia="Arial" w:hAnsi="Arial"/>
          <w:sz w:val="24"/>
          <w:szCs w:val="24"/>
        </w:rPr>
        <w:t xml:space="preserve">1.4. Автобусы:</w:t>
      </w:r>
    </w:p>
    <w:p>
      <w:pPr>
        <w:spacing w:after="60"/>
        <w:ind w:firstLine="567"/>
        <w:jc w:val="both"/>
      </w:pPr>
      <w:r>
        <w:rPr>
          <w:rFonts w:ascii="Arial" w:cs="Arial" w:eastAsia="Arial" w:hAnsi="Arial"/>
          <w:sz w:val="24"/>
          <w:szCs w:val="24"/>
        </w:rPr>
        <w:t xml:space="preserve">- двухосный - 18 т;</w:t>
      </w:r>
    </w:p>
    <w:p>
      <w:pPr>
        <w:spacing w:after="60"/>
        <w:ind w:firstLine="567"/>
        <w:jc w:val="both"/>
      </w:pPr>
      <w:r>
        <w:rPr>
          <w:rFonts w:ascii="Arial" w:cs="Arial" w:eastAsia="Arial" w:hAnsi="Arial"/>
          <w:sz w:val="24"/>
          <w:szCs w:val="24"/>
        </w:rPr>
        <w:t xml:space="preserve">- трехосный - 24 т;</w:t>
      </w:r>
    </w:p>
    <w:p>
      <w:pPr>
        <w:spacing w:after="60"/>
        <w:ind w:firstLine="567"/>
        <w:jc w:val="both"/>
      </w:pPr>
      <w:r>
        <w:rPr>
          <w:rFonts w:ascii="Arial" w:cs="Arial" w:eastAsia="Arial" w:hAnsi="Arial"/>
          <w:sz w:val="24"/>
          <w:szCs w:val="24"/>
        </w:rPr>
        <w:t xml:space="preserve">- трехосный шарнирно-сочлененный - 28 т;</w:t>
      </w:r>
    </w:p>
    <w:p>
      <w:pPr>
        <w:spacing w:after="60"/>
        <w:ind w:firstLine="567"/>
        <w:jc w:val="both"/>
      </w:pPr>
      <w:r>
        <w:rPr>
          <w:rFonts w:ascii="Arial" w:cs="Arial" w:eastAsia="Arial" w:hAnsi="Arial"/>
          <w:sz w:val="24"/>
          <w:szCs w:val="24"/>
        </w:rPr>
        <w:t xml:space="preserve">- четырехосный шарнирно сочлененный - 28 т.</w:t>
      </w:r>
    </w:p>
    <w:p>
      <w:pPr>
        <w:spacing w:after="200" w:before="200"/>
        <w:jc w:val="center"/>
      </w:pPr>
      <w:r>
        <w:rPr>
          <w:rFonts w:ascii="Arial" w:cs="Arial" w:eastAsia="Arial" w:hAnsi="Arial"/>
          <w:b/>
          <w:bCs/>
          <w:sz w:val="32"/>
          <w:szCs w:val="32"/>
        </w:rPr>
        <w:t xml:space="preserve">2. Максимальная осевая масса транспортных средств должна соответствовать следующим параметрам</w:t>
      </w:r>
    </w:p>
    <w:p>
      <w:pPr>
        <w:spacing w:after="120"/>
        <w:ind w:firstLine="567"/>
        <w:jc w:val="both"/>
      </w:pPr>
      <w:r>
        <w:rPr>
          <w:rFonts w:ascii="Arial" w:cs="Arial" w:eastAsia="Arial" w:hAnsi="Arial"/>
          <w:sz w:val="24"/>
          <w:szCs w:val="24"/>
        </w:rPr>
        <w:t xml:space="preserve">2. Максимальная осевая масса транспортных средств должна соответствовать следующим параметрам: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9"/>
        <w:gridCol w:w="2133"/>
        <w:gridCol w:w="2368"/>
        <w:gridCol w:w="2368"/>
      </w:tblGrid>
      <w:tr>
        <w:tc>
          <w:tcPr>
            <w:tcW w:type="dxa" w:w="33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между сближенными осями (метров)</w:t>
            </w:r>
          </w:p>
        </w:tc>
        <w:tc>
          <w:tcPr>
            <w:tcW w:type="dxa" w:w="47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Допустимые осевые нагрузки колесных транспортных средств в зависимости от нормативной (расчетной) осевой нагрузки (тонн) и числа колес на оси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автомобильных дорог, рассчитанных на осевую нагрузку 10 тонн/ось</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автомобильных дорог, рассчитанных на осевую нагрузку 11,5 тонн/ось</w:t>
            </w:r>
          </w:p>
        </w:tc>
      </w:tr>
      <w:tr>
        <w:tc>
          <w:tcPr>
            <w:tcW w:type="dxa" w:w="3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Одиночные оси</w:t>
            </w:r>
          </w:p>
        </w:tc>
        <w:tc>
          <w:tcPr>
            <w:tcW w:type="dxa" w:w="2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r>
      <w:tr>
        <w:tc>
          <w:tcPr>
            <w:tcW w:type="dxa" w:w="33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Сдвоенные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type="dxa" w:w="21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1 (включительно)</w:t>
            </w:r>
          </w:p>
        </w:tc>
        <w:tc>
          <w:tcPr>
            <w:tcW w:type="dxa" w:w="23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23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1,3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33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Сближенные оси грузовых автомобилей, автомобилей-тягачей, седельных тягачей, прицепов и полуприцепов с количеством осей более трех при расстоянии между осями (нагрузка на одну ось)</w:t>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3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Сближенные оси транспортных средств, имеющих на каждой оси по восемь и более колес (нагрузка на одну ось)</w:t>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200" w:before="200"/>
        <w:jc w:val="center"/>
      </w:pPr>
      <w:r>
        <w:rPr>
          <w:rFonts w:ascii="Arial" w:cs="Arial" w:eastAsia="Arial" w:hAnsi="Arial"/>
          <w:b/>
          <w:bCs/>
          <w:sz w:val="32"/>
          <w:szCs w:val="32"/>
        </w:rPr>
        <w:t xml:space="preserve">3. Максимальные размеры и другие линейные параметры транспортных средств</w:t>
      </w:r>
    </w:p>
    <w:p>
      <w:pPr>
        <w:spacing w:after="60"/>
        <w:ind w:firstLine="567"/>
        <w:jc w:val="both"/>
      </w:pPr>
      <w:r>
        <w:rPr>
          <w:rFonts w:ascii="Arial" w:cs="Arial" w:eastAsia="Arial" w:hAnsi="Arial"/>
          <w:sz w:val="24"/>
          <w:szCs w:val="24"/>
        </w:rPr>
        <w:t xml:space="preserve">3. Максимальные размеры и другие линейные параметры для автотранспортных средств должны соответствовать следующим данным:</w:t>
      </w:r>
    </w:p>
    <w:p>
      <w:pPr>
        <w:spacing w:after="60"/>
        <w:ind w:firstLine="567"/>
        <w:jc w:val="both"/>
      </w:pPr>
      <w:r>
        <w:rPr>
          <w:rFonts w:ascii="Arial" w:cs="Arial" w:eastAsia="Arial" w:hAnsi="Arial"/>
          <w:sz w:val="24"/>
          <w:szCs w:val="24"/>
        </w:rPr>
        <w:t xml:space="preserve">3.1. Максимальная длина:</w:t>
      </w:r>
    </w:p>
    <w:p>
      <w:pPr>
        <w:spacing w:after="60"/>
        <w:ind w:firstLine="567"/>
        <w:jc w:val="both"/>
      </w:pPr>
      <w:r>
        <w:rPr>
          <w:rFonts w:ascii="Arial" w:cs="Arial" w:eastAsia="Arial" w:hAnsi="Arial"/>
          <w:sz w:val="24"/>
          <w:szCs w:val="24"/>
        </w:rPr>
        <w:t xml:space="preserve">- грузового автомобиля - 12,00 м;</w:t>
      </w:r>
    </w:p>
    <w:p>
      <w:pPr>
        <w:spacing w:after="60"/>
        <w:ind w:firstLine="567"/>
        <w:jc w:val="both"/>
      </w:pPr>
      <w:r>
        <w:rPr>
          <w:rFonts w:ascii="Arial" w:cs="Arial" w:eastAsia="Arial" w:hAnsi="Arial"/>
          <w:sz w:val="24"/>
          <w:szCs w:val="24"/>
        </w:rPr>
        <w:t xml:space="preserve">- автобуса - 12,0 м;</w:t>
      </w:r>
    </w:p>
    <w:p>
      <w:pPr>
        <w:spacing w:after="60"/>
        <w:ind w:firstLine="567"/>
        <w:jc w:val="both"/>
      </w:pPr>
      <w:r>
        <w:rPr>
          <w:rFonts w:ascii="Arial" w:cs="Arial" w:eastAsia="Arial" w:hAnsi="Arial"/>
          <w:sz w:val="24"/>
          <w:szCs w:val="24"/>
        </w:rPr>
        <w:t xml:space="preserve">- прицепа - 12,00 м;</w:t>
      </w:r>
    </w:p>
    <w:p>
      <w:pPr>
        <w:spacing w:after="60"/>
        <w:ind w:firstLine="567"/>
        <w:jc w:val="both"/>
      </w:pPr>
      <w:r>
        <w:rPr>
          <w:rFonts w:ascii="Arial" w:cs="Arial" w:eastAsia="Arial" w:hAnsi="Arial"/>
          <w:sz w:val="24"/>
          <w:szCs w:val="24"/>
        </w:rPr>
        <w:t xml:space="preserve">- сочлененного транспортного средства - 20,0 м;</w:t>
      </w:r>
    </w:p>
    <w:p>
      <w:pPr>
        <w:spacing w:after="60"/>
        <w:ind w:firstLine="567"/>
        <w:jc w:val="both"/>
      </w:pPr>
      <w:r>
        <w:rPr>
          <w:rFonts w:ascii="Arial" w:cs="Arial" w:eastAsia="Arial" w:hAnsi="Arial"/>
          <w:sz w:val="24"/>
          <w:szCs w:val="24"/>
        </w:rPr>
        <w:t xml:space="preserve">- сочлененного автобуса - 18,00 м;</w:t>
      </w:r>
    </w:p>
    <w:p>
      <w:pPr>
        <w:spacing w:after="60"/>
        <w:ind w:firstLine="567"/>
        <w:jc w:val="both"/>
      </w:pPr>
      <w:r>
        <w:rPr>
          <w:rFonts w:ascii="Arial" w:cs="Arial" w:eastAsia="Arial" w:hAnsi="Arial"/>
          <w:sz w:val="24"/>
          <w:szCs w:val="24"/>
        </w:rPr>
        <w:t xml:space="preserve">- автопоезда - 20,00 м.</w:t>
      </w:r>
    </w:p>
    <w:p>
      <w:pPr>
        <w:spacing w:after="60"/>
        <w:ind w:firstLine="567"/>
        <w:jc w:val="both"/>
      </w:pPr>
      <w:r>
        <w:rPr>
          <w:rFonts w:ascii="Arial" w:cs="Arial" w:eastAsia="Arial" w:hAnsi="Arial"/>
          <w:sz w:val="24"/>
          <w:szCs w:val="24"/>
        </w:rPr>
        <w:t xml:space="preserve">3.2. Максимальная ширина:</w:t>
      </w:r>
    </w:p>
    <w:p>
      <w:pPr>
        <w:spacing w:after="60"/>
        <w:ind w:firstLine="567"/>
        <w:jc w:val="both"/>
      </w:pPr>
      <w:r>
        <w:rPr>
          <w:rFonts w:ascii="Arial" w:cs="Arial" w:eastAsia="Arial" w:hAnsi="Arial"/>
          <w:sz w:val="24"/>
          <w:szCs w:val="24"/>
        </w:rPr>
        <w:t xml:space="preserve">- всех транспортных средств - 2,55 м;</w:t>
      </w:r>
    </w:p>
    <w:p>
      <w:pPr>
        <w:spacing w:after="60"/>
        <w:ind w:firstLine="567"/>
        <w:jc w:val="both"/>
      </w:pPr>
      <w:r>
        <w:rPr>
          <w:rFonts w:ascii="Arial" w:cs="Arial" w:eastAsia="Arial" w:hAnsi="Arial"/>
          <w:sz w:val="24"/>
          <w:szCs w:val="24"/>
        </w:rPr>
        <w:t xml:space="preserve">- изотермических кузовов - 2,60 м.</w:t>
      </w:r>
    </w:p>
    <w:p>
      <w:pPr>
        <w:spacing w:after="60"/>
        <w:ind w:firstLine="567"/>
        <w:jc w:val="both"/>
      </w:pPr>
      <w:r>
        <w:rPr>
          <w:rFonts w:ascii="Arial" w:cs="Arial" w:eastAsia="Arial" w:hAnsi="Arial"/>
          <w:sz w:val="24"/>
          <w:szCs w:val="24"/>
        </w:rPr>
        <w:t xml:space="preserve">3.3. Максимальная высота - 4,00 м,</w:t>
      </w:r>
    </w:p>
    <w:p>
      <w:pPr>
        <w:spacing w:after="60"/>
        <w:ind w:firstLine="567"/>
        <w:jc w:val="both"/>
      </w:pPr>
      <w:r>
        <w:rPr>
          <w:rFonts w:ascii="Arial" w:cs="Arial" w:eastAsia="Arial" w:hAnsi="Arial"/>
          <w:sz w:val="24"/>
          <w:szCs w:val="24"/>
        </w:rPr>
        <w:t xml:space="preserve">3.4. Максимальные размеры транспортных средств, указанные в пункте 3, включают в себя размеры съемных кузовов и тары для грузов, включая контейнеры.</w:t>
      </w:r>
    </w:p>
    <w:p>
      <w:pPr>
        <w:spacing w:after="60"/>
        <w:ind w:firstLine="567"/>
        <w:jc w:val="both"/>
      </w:pPr>
      <w:r>
        <w:rPr>
          <w:rFonts w:ascii="Arial" w:cs="Arial" w:eastAsia="Arial" w:hAnsi="Arial"/>
          <w:sz w:val="24"/>
          <w:szCs w:val="24"/>
        </w:rPr>
        <w:t xml:space="preserve">3.5. Любое транспортное средство при движении должно обеспечивать возможность поворота в пределах пространства, ограниченного внешним радиусом 12,50 м и внутренним радиусом - 5,30 м.</w:t>
      </w:r>
    </w:p>
    <w:p>
      <w:pPr>
        <w:spacing w:after="60"/>
        <w:ind w:firstLine="567"/>
        <w:jc w:val="both"/>
      </w:pPr>
      <w:r>
        <w:rPr>
          <w:rFonts w:ascii="Arial" w:cs="Arial" w:eastAsia="Arial" w:hAnsi="Arial"/>
          <w:sz w:val="24"/>
          <w:szCs w:val="24"/>
        </w:rPr>
        <w:t xml:space="preserve">3.6. Максимальное расстояние между осью запора сцепного устройства и задней частью комбинированного транспортного средства не должно превышать 12,00 м.</w:t>
      </w:r>
    </w:p>
    <w:p>
      <w:pPr>
        <w:spacing w:after="60"/>
        <w:ind w:firstLine="567"/>
        <w:jc w:val="both"/>
      </w:pPr>
      <w:r>
        <w:rPr>
          <w:rFonts w:ascii="Arial" w:cs="Arial" w:eastAsia="Arial" w:hAnsi="Arial"/>
          <w:sz w:val="24"/>
          <w:szCs w:val="24"/>
        </w:rPr>
        <w:t xml:space="preserve">3.7. Максимальное расстояние, измеренное параллельно продольной оси автопоезда, от внешней передней точки кузова или платформы для установки груза за кабиной до задней внешней точки прицепа, за вычетом расстояния между задней частью тягача и передней частью прицепа, не должно превышать 17,0 м.</w:t>
      </w:r>
    </w:p>
    <w:p>
      <w:pPr>
        <w:spacing w:after="60"/>
        <w:ind w:firstLine="567"/>
        <w:jc w:val="both"/>
      </w:pPr>
      <w:r>
        <w:rPr>
          <w:rFonts w:ascii="Arial" w:cs="Arial" w:eastAsia="Arial" w:hAnsi="Arial"/>
          <w:sz w:val="24"/>
          <w:szCs w:val="24"/>
        </w:rPr>
        <w:t xml:space="preserve">3.8. Максимальное расстояние, измеренное параллельно продольной оси автопоезда, от внешней передней точки кузова или платформы для установки груза за кабиной до задней внешней точки полуприцепа, не должно превышать 16,40 м.</w:t>
      </w:r>
    </w:p>
    <w:p>
      <w:pPr>
        <w:spacing w:after="60"/>
        <w:ind w:firstLine="567"/>
        <w:jc w:val="both"/>
      </w:pPr>
      <w:r>
        <w:rPr>
          <w:rFonts w:ascii="Arial" w:cs="Arial" w:eastAsia="Arial" w:hAnsi="Arial"/>
          <w:sz w:val="24"/>
          <w:szCs w:val="24"/>
        </w:rPr>
        <w:t xml:space="preserve">3.9. Установленный в кузове транспортного средства груз не должен выступать за заднюю внешнюю точку автомобиля или прицепа более чем на 2,00 м.</w:t>
      </w:r>
    </w:p>
    <w:p>
      <w:pPr>
        <w:spacing w:after="60"/>
        <w:ind w:firstLine="567"/>
        <w:jc w:val="both"/>
      </w:pPr>
      <w:r>
        <w:rPr>
          <w:rFonts w:ascii="Arial" w:cs="Arial" w:eastAsia="Arial" w:hAnsi="Arial"/>
          <w:sz w:val="24"/>
          <w:szCs w:val="24"/>
        </w:rPr>
        <w:t xml:space="preserve">3.10. Расстояние между задней осью грузового автомобиля и передней осью прицепа должно быть не менее 3,00 м.</w:t>
      </w:r>
    </w:p>
    <w:p>
      <w:pPr>
        <w:spacing w:after="60"/>
        <w:ind w:firstLine="567"/>
        <w:jc w:val="both"/>
      </w:pPr>
      <w:r>
        <w:rPr>
          <w:rFonts w:ascii="Arial" w:cs="Arial" w:eastAsia="Arial" w:hAnsi="Arial"/>
          <w:sz w:val="24"/>
          <w:szCs w:val="24"/>
        </w:rPr>
        <w:t xml:space="preserve">3.11. Горизонтально измеренное расстояние между осью шарнирного крепления полуприцепа и любой точкой передней части полуприцепа не должно превышать 2,04 м.</w:t>
      </w:r>
    </w:p>
    <w:p>
      <w:pPr>
        <w:spacing w:after="60"/>
        <w:ind w:firstLine="567"/>
        <w:jc w:val="both"/>
      </w:pPr>
      <w:r>
        <w:rPr>
          <w:rFonts w:ascii="Arial" w:cs="Arial" w:eastAsia="Arial" w:hAnsi="Arial"/>
          <w:sz w:val="24"/>
          <w:szCs w:val="24"/>
        </w:rPr>
        <w:t xml:space="preserve">3.12. При измерении длины автотранспортного средства не учитываются следующие устройства, смонтированные на транспортном средстве:</w:t>
      </w:r>
    </w:p>
    <w:p>
      <w:pPr>
        <w:spacing w:after="60"/>
        <w:ind w:firstLine="567"/>
        <w:jc w:val="both"/>
      </w:pPr>
      <w:r>
        <w:rPr>
          <w:rFonts w:ascii="Arial" w:cs="Arial" w:eastAsia="Arial" w:hAnsi="Arial"/>
          <w:sz w:val="24"/>
          <w:szCs w:val="24"/>
        </w:rPr>
        <w:t xml:space="preserve">- устройства для очистки стекол и брызговики;</w:t>
      </w:r>
    </w:p>
    <w:p>
      <w:pPr>
        <w:spacing w:after="60"/>
        <w:ind w:firstLine="567"/>
        <w:jc w:val="both"/>
      </w:pPr>
      <w:r>
        <w:rPr>
          <w:rFonts w:ascii="Arial" w:cs="Arial" w:eastAsia="Arial" w:hAnsi="Arial"/>
          <w:sz w:val="24"/>
          <w:szCs w:val="24"/>
        </w:rPr>
        <w:t xml:space="preserve">- фронтальные и боковые маркировочные пластины;</w:t>
      </w:r>
    </w:p>
    <w:p>
      <w:pPr>
        <w:spacing w:after="60"/>
        <w:ind w:firstLine="567"/>
        <w:jc w:val="both"/>
      </w:pPr>
      <w:r>
        <w:rPr>
          <w:rFonts w:ascii="Arial" w:cs="Arial" w:eastAsia="Arial" w:hAnsi="Arial"/>
          <w:sz w:val="24"/>
          <w:szCs w:val="24"/>
        </w:rPr>
        <w:t xml:space="preserve">- устройства для пломбирования и защитные приспособления для них;</w:t>
      </w:r>
    </w:p>
    <w:p>
      <w:pPr>
        <w:spacing w:after="60"/>
        <w:ind w:firstLine="567"/>
        <w:jc w:val="both"/>
      </w:pPr>
      <w:r>
        <w:rPr>
          <w:rFonts w:ascii="Arial" w:cs="Arial" w:eastAsia="Arial" w:hAnsi="Arial"/>
          <w:sz w:val="24"/>
          <w:szCs w:val="24"/>
        </w:rPr>
        <w:t xml:space="preserve">- устройства для закрепления брезента и защитные приспособления для них;</w:t>
      </w:r>
    </w:p>
    <w:p>
      <w:pPr>
        <w:spacing w:after="60"/>
        <w:ind w:firstLine="567"/>
        <w:jc w:val="both"/>
      </w:pPr>
      <w:r>
        <w:rPr>
          <w:rFonts w:ascii="Arial" w:cs="Arial" w:eastAsia="Arial" w:hAnsi="Arial"/>
          <w:sz w:val="24"/>
          <w:szCs w:val="24"/>
        </w:rPr>
        <w:t xml:space="preserve">- оборудование для электроосвещения;</w:t>
      </w:r>
    </w:p>
    <w:p>
      <w:pPr>
        <w:spacing w:after="60"/>
        <w:ind w:firstLine="567"/>
        <w:jc w:val="both"/>
      </w:pPr>
      <w:r>
        <w:rPr>
          <w:rFonts w:ascii="Arial" w:cs="Arial" w:eastAsia="Arial" w:hAnsi="Arial"/>
          <w:sz w:val="24"/>
          <w:szCs w:val="24"/>
        </w:rPr>
        <w:t xml:space="preserve">- зеркала задней обзорности и приспособления для обзора пространства за автомобилем;</w:t>
      </w:r>
    </w:p>
    <w:p>
      <w:pPr>
        <w:spacing w:after="60"/>
        <w:ind w:firstLine="567"/>
        <w:jc w:val="both"/>
      </w:pPr>
      <w:r>
        <w:rPr>
          <w:rFonts w:ascii="Arial" w:cs="Arial" w:eastAsia="Arial" w:hAnsi="Arial"/>
          <w:sz w:val="24"/>
          <w:szCs w:val="24"/>
        </w:rPr>
        <w:t xml:space="preserve">- воздуховодные трубки;</w:t>
      </w:r>
    </w:p>
    <w:p>
      <w:pPr>
        <w:spacing w:after="60"/>
        <w:ind w:firstLine="567"/>
        <w:jc w:val="both"/>
      </w:pPr>
      <w:r>
        <w:rPr>
          <w:rFonts w:ascii="Arial" w:cs="Arial" w:eastAsia="Arial" w:hAnsi="Arial"/>
          <w:sz w:val="24"/>
          <w:szCs w:val="24"/>
        </w:rPr>
        <w:t xml:space="preserve">- длина клапанов и разъемов для соединения с прицепами или съемными кузовами;</w:t>
      </w:r>
    </w:p>
    <w:p>
      <w:pPr>
        <w:spacing w:after="60"/>
        <w:ind w:firstLine="567"/>
        <w:jc w:val="both"/>
      </w:pPr>
      <w:r>
        <w:rPr>
          <w:rFonts w:ascii="Arial" w:cs="Arial" w:eastAsia="Arial" w:hAnsi="Arial"/>
          <w:sz w:val="24"/>
          <w:szCs w:val="24"/>
        </w:rPr>
        <w:t xml:space="preserve">- ступени для доступа в кузов, подъемник для запасной автопокрышки;</w:t>
      </w:r>
    </w:p>
    <w:p>
      <w:pPr>
        <w:spacing w:after="60"/>
        <w:ind w:firstLine="567"/>
        <w:jc w:val="both"/>
      </w:pPr>
      <w:r>
        <w:rPr>
          <w:rFonts w:ascii="Arial" w:cs="Arial" w:eastAsia="Arial" w:hAnsi="Arial"/>
          <w:sz w:val="24"/>
          <w:szCs w:val="24"/>
        </w:rPr>
        <w:t xml:space="preserve">- подъемные платформы, ступени для доступа и иное аналогичное оборудование, не превышающее в рабочем положении 200 мм и выполненное таким образом, чтобы оно не могло увеличивать предельную массу загрузки автомобиля, установленную изготовителем.</w:t>
      </w:r>
    </w:p>
    <w:p>
      <w:pPr>
        <w:spacing w:after="60"/>
        <w:ind w:firstLine="567"/>
        <w:jc w:val="both"/>
      </w:pPr>
      <w:r>
        <w:rPr>
          <w:rFonts w:ascii="Arial" w:cs="Arial" w:eastAsia="Arial" w:hAnsi="Arial"/>
          <w:sz w:val="24"/>
          <w:szCs w:val="24"/>
        </w:rPr>
        <w:t xml:space="preserve">3.13. При измерении высоты автотранспортного средства не должны учитываться смонтированные на транспортном средстве: антенны; пантограф в поднятом положении.</w:t>
      </w:r>
    </w:p>
    <w:p>
      <w:pPr>
        <w:spacing w:after="60"/>
        <w:ind w:firstLine="567"/>
        <w:jc w:val="both"/>
      </w:pPr>
      <w:r>
        <w:rPr>
          <w:rFonts w:ascii="Arial" w:cs="Arial" w:eastAsia="Arial" w:hAnsi="Arial"/>
          <w:sz w:val="24"/>
          <w:szCs w:val="24"/>
        </w:rPr>
        <w:t xml:space="preserve">Для транспортных средств, имеющих устройство для подъема оси, должен учитываться эффект от воздействия этого устройства.</w:t>
      </w:r>
    </w:p>
    <w:p>
      <w:pPr>
        <w:spacing w:after="60"/>
        <w:ind w:firstLine="567"/>
        <w:jc w:val="both"/>
      </w:pPr>
      <w:r>
        <w:rPr>
          <w:rFonts w:ascii="Arial" w:cs="Arial" w:eastAsia="Arial" w:hAnsi="Arial"/>
          <w:sz w:val="24"/>
          <w:szCs w:val="24"/>
        </w:rPr>
        <w:t xml:space="preserve">3.14. При измерении ширины автотранспортного средства не учитываются следующие устройства, смонтированные на транспортном средстве:</w:t>
      </w:r>
    </w:p>
    <w:p>
      <w:pPr>
        <w:spacing w:after="60"/>
        <w:ind w:firstLine="567"/>
        <w:jc w:val="both"/>
      </w:pPr>
      <w:r>
        <w:rPr>
          <w:rFonts w:ascii="Arial" w:cs="Arial" w:eastAsia="Arial" w:hAnsi="Arial"/>
          <w:sz w:val="24"/>
          <w:szCs w:val="24"/>
        </w:rPr>
        <w:t xml:space="preserve">- устройства для пломб, печатей и защитные приспособления к ним;</w:t>
      </w:r>
    </w:p>
    <w:p>
      <w:pPr>
        <w:spacing w:after="60"/>
        <w:ind w:firstLine="567"/>
        <w:jc w:val="both"/>
      </w:pPr>
      <w:r>
        <w:rPr>
          <w:rFonts w:ascii="Arial" w:cs="Arial" w:eastAsia="Arial" w:hAnsi="Arial"/>
          <w:sz w:val="24"/>
          <w:szCs w:val="24"/>
        </w:rPr>
        <w:t xml:space="preserve">- устройства для закрепления брезента и защитные приспособления к ним;</w:t>
      </w:r>
    </w:p>
    <w:p>
      <w:pPr>
        <w:spacing w:after="60"/>
        <w:ind w:firstLine="567"/>
        <w:jc w:val="both"/>
      </w:pPr>
      <w:r>
        <w:rPr>
          <w:rFonts w:ascii="Arial" w:cs="Arial" w:eastAsia="Arial" w:hAnsi="Arial"/>
          <w:sz w:val="24"/>
          <w:szCs w:val="24"/>
        </w:rPr>
        <w:t xml:space="preserve">- устройства для опознавания повреждения автопокрышек;</w:t>
      </w:r>
    </w:p>
    <w:p>
      <w:pPr>
        <w:spacing w:after="60"/>
        <w:ind w:firstLine="567"/>
        <w:jc w:val="both"/>
      </w:pPr>
      <w:r>
        <w:rPr>
          <w:rFonts w:ascii="Arial" w:cs="Arial" w:eastAsia="Arial" w:hAnsi="Arial"/>
          <w:sz w:val="24"/>
          <w:szCs w:val="24"/>
        </w:rPr>
        <w:t xml:space="preserve">- выступающие части брызговиков;</w:t>
      </w:r>
    </w:p>
    <w:p>
      <w:pPr>
        <w:spacing w:after="60"/>
        <w:ind w:firstLine="567"/>
        <w:jc w:val="both"/>
      </w:pPr>
      <w:r>
        <w:rPr>
          <w:rFonts w:ascii="Arial" w:cs="Arial" w:eastAsia="Arial" w:hAnsi="Arial"/>
          <w:sz w:val="24"/>
          <w:szCs w:val="24"/>
        </w:rPr>
        <w:t xml:space="preserve">- осветительное оборудование;</w:t>
      </w:r>
    </w:p>
    <w:p>
      <w:pPr>
        <w:spacing w:after="60"/>
        <w:ind w:firstLine="567"/>
        <w:jc w:val="both"/>
      </w:pPr>
      <w:r>
        <w:rPr>
          <w:rFonts w:ascii="Arial" w:cs="Arial" w:eastAsia="Arial" w:hAnsi="Arial"/>
          <w:sz w:val="24"/>
          <w:szCs w:val="24"/>
        </w:rPr>
        <w:t xml:space="preserve">- ступени подвесные платформы и иное аналогичное оборудование, которые в рабочем положении выступают не более чем на 10 мм с каждой стороны транспортного средства, у которых обращенные вперед или назад углы ступеней имеют радиус закругления не менее 5 мм, а их кромки - радиус закругления не менее 2,5 мм;</w:t>
      </w:r>
    </w:p>
    <w:p>
      <w:pPr>
        <w:spacing w:after="60"/>
        <w:ind w:firstLine="567"/>
        <w:jc w:val="both"/>
      </w:pPr>
      <w:r>
        <w:rPr>
          <w:rFonts w:ascii="Arial" w:cs="Arial" w:eastAsia="Arial" w:hAnsi="Arial"/>
          <w:sz w:val="24"/>
          <w:szCs w:val="24"/>
        </w:rPr>
        <w:t xml:space="preserve">- зеркала заднего обзора;</w:t>
      </w:r>
    </w:p>
    <w:p>
      <w:pPr>
        <w:spacing w:after="60"/>
        <w:ind w:firstLine="567"/>
        <w:jc w:val="both"/>
      </w:pPr>
      <w:r>
        <w:rPr>
          <w:rFonts w:ascii="Arial" w:cs="Arial" w:eastAsia="Arial" w:hAnsi="Arial"/>
          <w:sz w:val="24"/>
          <w:szCs w:val="24"/>
        </w:rPr>
        <w:t xml:space="preserve">- индикаторы давления в шинах;</w:t>
      </w:r>
    </w:p>
    <w:p>
      <w:pPr>
        <w:spacing w:after="60"/>
        <w:ind w:firstLine="567"/>
        <w:jc w:val="both"/>
      </w:pPr>
      <w:r>
        <w:rPr>
          <w:rFonts w:ascii="Arial" w:cs="Arial" w:eastAsia="Arial" w:hAnsi="Arial"/>
          <w:sz w:val="24"/>
          <w:szCs w:val="24"/>
        </w:rPr>
        <w:t xml:space="preserve">- втягивающиеся или убирающиеся в транспортном положении ступени или лестницы;</w:t>
      </w:r>
    </w:p>
    <w:p>
      <w:pPr>
        <w:spacing w:after="60"/>
        <w:ind w:firstLine="567"/>
        <w:jc w:val="both"/>
      </w:pPr>
      <w:r>
        <w:rPr>
          <w:rFonts w:ascii="Arial" w:cs="Arial" w:eastAsia="Arial" w:hAnsi="Arial"/>
          <w:sz w:val="24"/>
          <w:szCs w:val="24"/>
        </w:rPr>
        <w:t xml:space="preserve">- искривленная часть поверхности автопокрышки, выступающая за точку ее контакта с поверхностью дороги.".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4yw6b8kiroaa6qvxewvd">
      <w:r>
        <w:rPr>
          <w:rFonts w:ascii="Arial" w:cs="Arial" w:eastAsia="Arial" w:hAnsi="Arial"/>
          <w:color w:val="132D3F"/>
          <w:sz w:val="16"/>
          <w:szCs w:val="16"/>
          <w:u w:val="single"/>
        </w:rPr>
        <w:t xml:space="preserve">dalil.kg/document/97827</w:t>
      </w:r>
    </w:hyperlink>
  </w:p>
  <w:p>
    <w:pPr>
      <w:spacing w:after="0" w:before="40"/>
      <w:jc w:val="center"/>
    </w:pPr>
    <w:hyperlink w:history="1" r:id="rIdmwk_9-ozhtsn51mt0z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amn8jngw-wovjrvvnyb_" Type="http://schemas.openxmlformats.org/officeDocument/2006/relationships/hyperlink" Target="https://dalil.kg/document/80" TargetMode="External"/><Relationship Id="rIdwi1vaxck8byyfx6h1-_uh" Type="http://schemas.openxmlformats.org/officeDocument/2006/relationships/hyperlink" Target="https://dalil.kg/document/92756" TargetMode="External"/><Relationship Id="rId-tne5h_6ttdcefukczwxv" Type="http://schemas.openxmlformats.org/officeDocument/2006/relationships/hyperlink" Target="https://dalil.kg/document/92756#p1" TargetMode="External"/><Relationship Id="rId8r0gxf_mulmf_hqrfmczn" Type="http://schemas.openxmlformats.org/officeDocument/2006/relationships/hyperlink" Target="https://dalil.kg/document/92756#p3" TargetMode="External"/><Relationship Id="rIdimxjilsqwfviyhn8tn6rr" Type="http://schemas.openxmlformats.org/officeDocument/2006/relationships/hyperlink" Target="https://dalil.kg/document/92756#p8" TargetMode="External"/><Relationship Id="rIdbfsagxqlu767jsjpfv6c0" Type="http://schemas.openxmlformats.org/officeDocument/2006/relationships/hyperlink" Target="https://dalil.kg/document/92756" TargetMode="External"/><Relationship Id="rIdlmn6kupft-405-cwxwvxb" Type="http://schemas.openxmlformats.org/officeDocument/2006/relationships/hyperlink" Target="https://dalil.kg/document/97827#p1" TargetMode="External"/><Relationship Id="rIdqfagz0-ojbfs0aeqz2fzs" Type="http://schemas.openxmlformats.org/officeDocument/2006/relationships/hyperlink" Target="https://dalil.kg/document/92756#p2" TargetMode="External"/><Relationship Id="rId384j-qm9zinrmege0qv4m" Type="http://schemas.openxmlformats.org/officeDocument/2006/relationships/hyperlink" Target="https://dalil.kg/document/92756" TargetMode="External"/><Relationship Id="rId7ojjjl70ypqa3hrbb6l-e" Type="http://schemas.openxmlformats.org/officeDocument/2006/relationships/hyperlink" Target="https://dalil.kg/document/97827#p2" TargetMode="External"/><Relationship Id="rIdc9djydj-mimcnl6etn0ku" Type="http://schemas.openxmlformats.org/officeDocument/2006/relationships/hyperlink" Target="https://dalil.kg/document/92756#p3" TargetMode="External"/><Relationship Id="rIdp7w33tjra9k_fkmjkzpg7" Type="http://schemas.openxmlformats.org/officeDocument/2006/relationships/hyperlink" Target="https://dalil.kg/document/9275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4yw6b8kiroaa6qvxewvd" Type="http://schemas.openxmlformats.org/officeDocument/2006/relationships/hyperlink" Target="https://dalil.kg/document/97827" TargetMode="External"/><Relationship Id="rIdmwk_9-ozhtsn51mt0z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2026-09-25T03:12:00.382Z</dcterms:created>
  <dcterms:modified xsi:type="dcterms:W3CDTF">2026-09-25T03:12:00.382Z</dcterms:modified>
</cp:coreProperties>
</file>

<file path=docProps/custom.xml><?xml version="1.0" encoding="utf-8"?>
<Properties xmlns="http://schemas.openxmlformats.org/officeDocument/2006/custom-properties" xmlns:vt="http://schemas.openxmlformats.org/officeDocument/2006/docPropsVTypes"/>
</file>