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 </w:t>
      </w:r>
      <w:hyperlink w:history="1" r:id="rIdngq3gzf-azkxv-njgog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
 от 18 сентября 2025 года № 589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at7z1naimbftvissaf6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июля 2015 года № 520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устанавливает единый порядок ведения учета доходов государственного бюджета, доходов, поступивших от операций с активами и обязательствами, распределения в порядке регулирования доходов между бюджетами разных уровней бюджетной системы Кыргызской Республики, зачисления и распределения сумм таможенных пошлин органами системы Казначейства Министерства финансов Кыргызской Республики (далее - органы системы Казначейства).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настоящей Инструкции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система Казначейства</w:t>
      </w:r>
      <w:r>
        <w:rPr>
          <w:rFonts w:ascii="Arial" w:cs="Arial" w:eastAsia="Arial" w:hAnsi="Arial"/>
          <w:sz w:val="24"/>
          <w:szCs w:val="24"/>
        </w:rPr>
        <w:t xml:space="preserve"> (далее - АСК) - комплекс программных, программно-аппаратных и аппаратных средств, методов и процедур, обеспечивающих генерирование, обработку, передачу, прием, хранение данных по кассовому обслуживанию исполнения республиканского и местных бюджетов и автоматизированное ведение учета и отчетности в системе Казначейства;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поступлений доходов бюджета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орган местного самоуправления, иная организация, имеющая в своем ведении администраторов доходов бюджета и (или) являющаяся администратором доходов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банк-агент</w:t>
      </w:r>
      <w:r>
        <w:rPr>
          <w:rFonts w:ascii="Arial" w:cs="Arial" w:eastAsia="Arial" w:hAnsi="Arial"/>
          <w:sz w:val="24"/>
          <w:szCs w:val="24"/>
        </w:rPr>
        <w:t xml:space="preserve"> - коммерческий банк, действующий на территории Кыргызской Республики и отобранный в результате конкурсных торгов по оказанию органам системы Казначейства определенного перечня банковских услуг, оплата и условия предоставления которых устанавливаются на основании заключенных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внутриказначейское поручение</w:t>
      </w:r>
      <w:r>
        <w:rPr>
          <w:rFonts w:ascii="Arial" w:cs="Arial" w:eastAsia="Arial" w:hAnsi="Arial"/>
          <w:sz w:val="24"/>
          <w:szCs w:val="24"/>
        </w:rPr>
        <w:t xml:space="preserve"> (далее - ВКП) - казначейский инструмент, посредством которого осуществляется перевод средств (ресурсов) внутри одного органа системы Казначейства;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единый счет Центрального казначейства Министерства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- Единый счет Центрального казначейства) - счет, открытый Центральному казначейству Министерства финансов Кыргызской Республики (далее - Центральное казначейство) в Национальном банке Кыргызской Республики (далее - Национальный банк) для зачисления и распределения доходов, в том числе сумм таможенных пошлин и их распределения при переходе на единый таможенный тариф;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 администратора поступлений доходов бюджета на зачет или возврат излишне уплаченных/взысканных сумм доходов</w:t>
      </w:r>
      <w:r>
        <w:rPr>
          <w:rFonts w:ascii="Arial" w:cs="Arial" w:eastAsia="Arial" w:hAnsi="Arial"/>
          <w:sz w:val="24"/>
          <w:szCs w:val="24"/>
        </w:rPr>
        <w:t xml:space="preserve"> - документ, представляемый администратором поступлений доходов бюджета в региональные отделения Казначейства для погашения задолженности по другим налогам или перед плательщиком налога;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заявка на возврат плательщику денежных средств от ввозных таможенных пошлин</w:t>
      </w:r>
      <w:r>
        <w:rPr>
          <w:rFonts w:ascii="Arial" w:cs="Arial" w:eastAsia="Arial" w:hAnsi="Arial"/>
          <w:sz w:val="24"/>
          <w:szCs w:val="24"/>
        </w:rPr>
        <w:t xml:space="preserve"> - документ, предоставляемый уполномоченным государственным органом для перечисления денежных средств от таможенных пошлин на расчетный счет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заявка на зачет в счет погашения задолженности</w:t>
      </w:r>
      <w:r>
        <w:rPr>
          <w:rFonts w:ascii="Arial" w:cs="Arial" w:eastAsia="Arial" w:hAnsi="Arial"/>
          <w:sz w:val="24"/>
          <w:szCs w:val="24"/>
        </w:rPr>
        <w:t xml:space="preserve"> - документ, предоставляемый уполномоченным государственным органом для погашения задолженности по таможенным пошлинам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казначейское заключение</w:t>
      </w:r>
      <w:r>
        <w:rPr>
          <w:rFonts w:ascii="Arial" w:cs="Arial" w:eastAsia="Arial" w:hAnsi="Arial"/>
          <w:sz w:val="24"/>
          <w:szCs w:val="24"/>
        </w:rPr>
        <w:t xml:space="preserve"> - казначейский инструмент, предназначенный для осуществления возврата ошибочно зачисленной суммы по неналоговым платежам (нефинансовым активам) или перевода излишне уплаченного неналогового платежа (нефинансового актива) на другой вид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книга счетов Казначейства</w:t>
      </w:r>
      <w:r>
        <w:rPr>
          <w:rFonts w:ascii="Arial" w:cs="Arial" w:eastAsia="Arial" w:hAnsi="Arial"/>
          <w:sz w:val="24"/>
          <w:szCs w:val="24"/>
        </w:rPr>
        <w:t xml:space="preserve"> (далее - КСК) - регистр аналитического учета операций, осуществляемых в системе Казначейства, (первичные бухгалтерские проводки), записи в который вносятся на основании ежедневного банковского отчета (выписки), полученного от банка-агента, а также ресурсов, полученных/переданных посредством межказначейского поручения, внутриказначейского поручения;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межказначейское поручение</w:t>
      </w:r>
      <w:r>
        <w:rPr>
          <w:rFonts w:ascii="Arial" w:cs="Arial" w:eastAsia="Arial" w:hAnsi="Arial"/>
          <w:sz w:val="24"/>
          <w:szCs w:val="24"/>
        </w:rPr>
        <w:t xml:space="preserve"> (далее - МКП) - казначейский инструмент, посредством которого осуществляется перевод средств (ресурсов) между органами системы Казначейства;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невыясненные (ошибочные) поступления</w:t>
      </w:r>
      <w:r>
        <w:rPr>
          <w:rFonts w:ascii="Arial" w:cs="Arial" w:eastAsia="Arial" w:hAnsi="Arial"/>
          <w:sz w:val="24"/>
          <w:szCs w:val="24"/>
        </w:rPr>
        <w:t xml:space="preserve"> - справочно-контрольная форма, формируемая в АСК в разрезе каждого невыясненного платежа, с указанием в соответствующих графах даты зачисления платежа по выписке банка-агента, номера и даты платежного документа, причины по отнесению к невыясненным платежам и мер, принятых для выяснения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отчет о зачислении и распределении сумм ввозных таможенных пошлин</w:t>
      </w:r>
      <w:r>
        <w:rPr>
          <w:rFonts w:ascii="Arial" w:cs="Arial" w:eastAsia="Arial" w:hAnsi="Arial"/>
          <w:sz w:val="24"/>
          <w:szCs w:val="24"/>
        </w:rPr>
        <w:t xml:space="preserve"> - документ, отражающий суммы денежных средств по ввозным таможенным пошлинам, зачисленным и распределенным в национальной валюте и перечисленным государствами - членами Евразийского экономического союза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отчет о зачислении и распределении сумм специальных, антидемпинговых, компенсационных пошлин</w:t>
      </w:r>
      <w:r>
        <w:rPr>
          <w:rFonts w:ascii="Arial" w:cs="Arial" w:eastAsia="Arial" w:hAnsi="Arial"/>
          <w:sz w:val="24"/>
          <w:szCs w:val="24"/>
        </w:rPr>
        <w:t xml:space="preserve"> - документ, отражающий суммы денежных средств зачисленных и распределенных специальных, антидемпинговых и компенсационных пошлин в национальной валюте и перечисленных государствами - членами Евразийского экономического союза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расчетный документ по распределенным таможенным пошлинам для перечисления государствам - членам ЕАЭС</w:t>
      </w:r>
      <w:r>
        <w:rPr>
          <w:rFonts w:ascii="Arial" w:cs="Arial" w:eastAsia="Arial" w:hAnsi="Arial"/>
          <w:sz w:val="24"/>
          <w:szCs w:val="24"/>
        </w:rPr>
        <w:t xml:space="preserve"> - документ, сформированный в автоматизированной системе Казначейства и отражающий распределение сумм таможенных пошлин между государствами - членами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справочник администраторов поступлений доходов бюджета</w:t>
      </w:r>
      <w:r>
        <w:rPr>
          <w:rFonts w:ascii="Arial" w:cs="Arial" w:eastAsia="Arial" w:hAnsi="Arial"/>
          <w:sz w:val="24"/>
          <w:szCs w:val="24"/>
        </w:rPr>
        <w:t xml:space="preserve"> - иерархическая структура ведомственной сети администраторов поступлений доходов бюджета и их территориальных органов для определения принадлежности органов, администрирующих доходы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таможенные платежи</w:t>
      </w:r>
      <w:r>
        <w:rPr>
          <w:rFonts w:ascii="Arial" w:cs="Arial" w:eastAsia="Arial" w:hAnsi="Arial"/>
          <w:sz w:val="24"/>
          <w:szCs w:val="24"/>
        </w:rPr>
        <w:t xml:space="preserve"> - таможенная пошлина, налоги, таможенные сборы, взимаемые в установленном порядке таможенными органами в соответствии с налоговым и таможенным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таможенная пошлина</w:t>
      </w:r>
      <w:r>
        <w:rPr>
          <w:rFonts w:ascii="Arial" w:cs="Arial" w:eastAsia="Arial" w:hAnsi="Arial"/>
          <w:sz w:val="24"/>
          <w:szCs w:val="24"/>
        </w:rPr>
        <w:t xml:space="preserve"> - обязательный платеж в республиканский бюджет, взимаемый таможенными органами в связи с перемещением товаров через таможенную границу (ввозные таможенные пошлины, специальные, антидемпинговые и компенсационные пошлины);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текущий счет Центрального казначейства Министерства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- Текущий счет Центрального казначейства) - счет, открытый в Национальном банке для зачисления доходов государственного бюджета и осуществления расходов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транзитный счет</w:t>
      </w:r>
      <w:r>
        <w:rPr>
          <w:rFonts w:ascii="Arial" w:cs="Arial" w:eastAsia="Arial" w:hAnsi="Arial"/>
          <w:sz w:val="24"/>
          <w:szCs w:val="24"/>
        </w:rPr>
        <w:t xml:space="preserve"> - счет регионального отделения Казначейства, открытый в банке-агенте для осуществления финансовых операций органов государственной власти и органов местного самоуправления по кассовому обслуживанию исполнения государственного бюджета по бюджетным, специальным, депозитным и переходным счетам;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уведомление о выяснении денежных средств</w:t>
      </w:r>
      <w:r>
        <w:rPr>
          <w:rFonts w:ascii="Arial" w:cs="Arial" w:eastAsia="Arial" w:hAnsi="Arial"/>
          <w:sz w:val="24"/>
          <w:szCs w:val="24"/>
        </w:rPr>
        <w:t xml:space="preserve"> - извещение, подготавливаемое Центральным казначейством и направляемое в уполномоченный государственный орган в сфере таможенного дела для выяснения денежных средств, поступивших на Единый счет Центрального казначейства;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сфере таможенного дела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на которого возложены функции взимания таможенных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Аналитический учет доходов государственного бюджета Кыргызской Республики осуществляется по видам общегосударственных налогов, таможенных платежей, сборов и прочих поступлений в соответствии с классификацией доходов и классификацией операций с активами и обязательствами Бюджетной классификации Кыргызской Республики и справочником администраторов поступлений доходов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учета поступлений доходов государственного бюджета и их распределения между бюджетами разных уровней бюджетной системы Кыргызской Республики региональными отделениями Казначейства (далее - РОК) в банках-агентах открываются транзитные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Зачисление и распределение таможенных пошлин от внешнеэкономической деятельности и их распределение между государствами - членами Евразийского экономического союза осуществляются на Едином счете Центрального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Центральное казначейство доводит до администраторов поступлений доходов бюджета реквизиты Единого счета Центрального казначейства не позднее дня, следующего за днем его открытия или днем внесения в него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Администраторы поступлений доходов бюджета доводят до плательщиков реквизиты счетов и информацию, необходимую для заполнения платежных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Центральное казначейство и РОК, осуществляющие кассовое обслуживание исполнения государственного бюджета, не несут ответственности за содержание информации в платежных документах, подготавливаемых плательщиками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вопросов по заполнению реквизитов платежных поручений и достоверности проведения платежных операций, плательщику необходимо обращаться к администратору поступлений соответствующего доходного источника бюджета или в коммерческий банк, которым были проведены платежные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Оперативно-аналитический учет доходов государственного бюджета, их распределение и отражение в реестрах аналитического учета осуществляются ежедневно в АСК.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Центральное казначейство и РОК ежемесячно производят сверку с администраторами поступлений доходов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взаимодействия Центральное казначейство, РОК и администраторы поступлений доходов бюджета при исполнении доходной части бюджетной системы Кыргызской Республики могут устанавливать различные формы обмена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Первичные учетные документы (банковские выписки, платежные поручения, ордера, мемориальные ордера, МКП, ВКП, заключения администраторов поступлений доходов бюджета, заявки на зачет и возврат таможенных пошлин, казначейские заключения по другим администраторам доходов бюджета и органам местного самоуправления, расчетный документ, отчет о зачислении и распределении сумм специальных, антидемпинговых, компенсационных пошлин, отчет о зачислении и распределении сумм ввозных таможенных пошлин), используемые в ежедневном учете, отчеты РОК (на бумажных носителях) хранятся в течение сроков, установленных Законом Кыргызской Республики "О Национальном архивном фонде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Документы, используемые для ведения учета и распределения доходов государственного бюджета и таможенных пошлин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Учет и распределение доходов между бюджетами разных уровней и таможенных пошлин осуществляются на основании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выписки банка-агента из транзитных счетов 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выписки из Текущего счета Центрального казначейства и Единого счета Центрального казначейства;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платежные поручения, ордера, мемориальные ордера плательщиков с полной информацией о доходах, получаемые в качестве приложения к выписке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администратора поступлений доходов бюджета на зачет или возврат излишне уплаченных/излишне взысканных сумм доходов, в четырех экземплярах, подписанных руководителем и заверенных оттиском печати (на всех экземплярах);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МКП (</w:t>
      </w:r>
      <w:hyperlink w:history="1" r:id="rIdu0idpbdsm0ik7k_-ytz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ВКП (</w:t>
      </w:r>
      <w:hyperlink w:history="1" r:id="rIdzgo1f5jzrg9ip1dohmy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казначейское заключение на возврат ошибочно зачисленной суммы по неналоговым платежам (нефинансовым активам) (</w:t>
      </w:r>
      <w:hyperlink w:history="1" r:id="rIdiel8gbhkzggpimud4uz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казначейское заключение на перевод излишне уплаченного неналогового платежа (нефинансового актива) на другой платеж (</w:t>
      </w:r>
      <w:hyperlink w:history="1" r:id="rIdkz3uuidhqiqp2gptm-t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чековая книжка (используется при возврате денежных средств физическим лицам);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уполномоченного государственного органа в сфере таможенного дела на зачет таможенных пошлин (</w:t>
      </w:r>
      <w:hyperlink w:history="1" r:id="rIdebmjla59lx5rmobr0ko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уполномоченного государственного органа в сфере таможенного дела на возврат таможенных пошлин на расчетные счета плательщиков (</w:t>
      </w:r>
      <w:hyperlink w:history="1" r:id="rIdepazlfhrjodfwqyesvk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по ежедневной информации о валютных суммах по распределенным таможенным пошлинам от государств - членов Евразийского экономического союза (</w:t>
      </w:r>
      <w:hyperlink w:history="1" r:id="rId7c_1cc7glzy4j5jkez1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учета и распределения доходов государственного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Центральное казначейство ежедневно получает от банков-агентов в электронном варианте банковские выписки по транзитным счетам РОК (бюджетные, специальные, депозитные и переходные, средства) за предыдущий банковский день, которые вводятся Центральным казначейством в АСК для дальнейшей разработки ответственными сотрудниками 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РОК ежедневно получают от банков-агентов выписки из транзитных счетов за предыдущий день, на бумажном носителе, с приложением одного экземпляра каждого платежного документа, подтверждающего уплату плательщиками платежей в государственный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получении от банков-агентов платежных документов на бумажных носителях РОК проверяет наличие штампа и подписи ответственного сотрудника банка-агента, соответствие сумм по платежным документам суммам в электронной выписке банка-агента, полноту наличия платежных документов, прилагаемых к банковской выписке.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Доходы государственного бюджета в автоматизированном режиме зачисляются строго по кодам платежей, указанным в платежных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назначения платежа коду платежа, указанному в платежном документе, зачисление платежа производится по коду платежа.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учета государственных доходов в банковских выписках необходимо детально отражать информацию о налоговых (таможенных платежах), неналоговых поступлениях, активах (финансовые и нефинансовые) и обязательствах с указанием элементов классификации доходов в разрезе бюджетных, специальных, депозитных и переходных счетов бюджетных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Денежные средства, поступившие на специальные счета бюджетных учреждений, обрабатываются и зачисляются в АСК как платные услуги, с указанием элемента классификации. Подтверждающие платежные документы передаются ответственным сотрудникам бюджетных учреждений под роспись, для использования в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МКП, ВКП формируются в АСК по видам доходов в соответствии с элементами классификации доходов, по мере их поступления с соответствующими приложениями.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Зачет или возврат излишне уплаченных/взысканных сумм доходов в доходы бюджетов разных уровней бюджетной системы Кыргызской Республики производится РОК на основании письменного уведомления администратора поступлений доходов бюджета с приложением соответствующего заключения о зачете или возврате излишне уплаченных/взысканных сумм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ошибочного зачисления плательщиком в доход государственного бюджета неналоговых платежей (нефинансовых активов) несоответствующим администраторам поступлений доходов бюджета и в несоответствующие бюджеты органов местного самоуправления, РОК оформляет казначейское заключение на возврат ошибочно зачисленных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оформления казначейского заключения является письменное уведомление администратора поступлений доходов бюджета или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и ответственность за достоверность составления заключения администратора поступлений доходов бюджета на зачет или возврат излишне уплаченных/взысканных сумм доходов, своевременность его представления в соответствующие органы несут руководители уполномоченного государственного органа налоговой службы и уполномоченного государственного органа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и ответственность за достоверность составления казначейского заключения и своевременность его исполнения и представления соответствующим администраторам поступлений доходов бюджета возлагаются на заведующих 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зачисления с транзитного счета РОК в КСК "Доходы" соответствующих бюджетов сумм доходов, перечисленных плательщиками, не состоящими на учете в органе налоговой службы на данной территории, когда плательщик меняет адрес постановки на учет, РОК на основании заключения администратора поступлений доходов бюджета на зачет или возврат излишне уплаченных/взысканных сумм доходов, в зависимости от вида перечисления сумм, оформляет: МКП, платежное поручение и направляет платеж по новому адресу. При этом поступившие доходы направляются на счета РОК, которые взаимодействуют с органом налоговой службы, на учете которого состоит данный плательщик, сменивший место своего нахождения или место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Центральное казначейство осуществляет учет поступлений доходов и распределение по кодам (элементам) Бюджетной классификации Кыргызской Республики, зачисленных на Единый счет Центрального казначейства и Текущий счет Центрального казначейства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 полученные в электронном формате выписки банка-агента с приложением платежных документов в АСК и производит зачисление и учет поступивших доходов по администраторам поступлений доходов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 в АСК полученную в электронном формате справку по ежедневной информации о валютных суммах по распределенным таможенным пошлинам от государств - членов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уведомление уполномоченному государственному органу в сфере таможенного дела о выяснении поступивших денежных средств на Единый счет Центрального казначейства при установлении ошибочно зачисленных сумм;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зачет по таможенным пошлинам на основании заявки, предоставленной уполномоченным государственным органом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платежные документы на основании заявки уполномоченного государственного органа в сфере таможенного дела на возврат денежных средств от таможенных пошлин плательщикам.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государственный орган в сфере таможенного дела представляет в Центральное казначейство через АСК заявки на зачет или возврат денежных средств по таможенным пошлинам накануне отчетного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Исполненные заявки на зачет или возврат таможенных пошлин регистрируются в АСК в Журнале регистрации заявок на зачет или возврат таможенных пошлин (</w:t>
      </w:r>
      <w:hyperlink w:history="1" r:id="rIdpvhmfxelgi5xgzxzmyr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и ответственность за достоверность составления заявок на зачет или возврат заключений по таможенным пошлинам, своевременность их предоставления в Центральное казначейство возлагаются на руководителя уполномоченного государственного органа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После обработки банковской выписки, представленной Национальным банком, по поступлениям денежных средств на Единый счет Центрального казначейства, зачета и возврата таможенных пошлин по представленным заявкам уполномоченного государственного органа в сфере таможенного дела, АСК осуществляется обработка документов по таможенным пошлинам по установленным коэффициентам и отражается в расчетном документе по распределенным таможенным пошлинам для перечисления государствам - членам Евразийского экономического союза (</w:t>
      </w:r>
      <w:hyperlink w:history="1" r:id="rIdnzftkjowc2qarzqgnuy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расчетного документа Центральное казначейство производит оформление платежных документов на перечисление поступивших и распределенных по кодам классификации таможенных пошлин в соответствующие бюджеты государств - членов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средства, отраженные в расчетном документе по распределенным таможенным пошлинам для перечисления государствам - членам ЕАЭС, ежедневно в АСК регистрируются в журнале регистрации расчетного документа по распределенным таможенным пошлинам для перечисления государствам - членам Евразийского экономического союза, в целях учета и контроля перечисляемых денежных средств, распределенных за день, за месяц и с начала года с нарастающим итогом (</w:t>
      </w:r>
      <w:hyperlink w:history="1" r:id="rId5wxgjdkwtxhqz05kasy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Центральное казначейство ежедневно формирует: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реестр о поступлениях по таможенным пошлинам для уполномоченного государственного органа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зачислении и распределении сумм ввозных таможенных пошлин (</w:t>
      </w:r>
      <w:hyperlink w:history="1" r:id="rIdqudahbozpwolabvwlps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зачислении и распределении сумм специальных, антидемпинговых, компенсационных пошлин по поступившим таможенным пошлинам согласно установленным процентным ставкам, предусмотренным в Договоре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(</w:t>
      </w:r>
      <w:hyperlink w:history="1" r:id="rIdzxsa1jmrouqr6ehzbr2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Учет невыясненных ошибочно зачисленных денежных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поступлении по банковской выписке платежей, требующих уточнения (выяснения), суммы этих доходов отражаются в аналитическом учете как "Невыясненные поступления" по соответствующим счетам и относятся на КСК "Невыясненные (ошибочные) поступления" (</w:t>
      </w:r>
      <w:hyperlink w:history="1" r:id="rIdr9bpihisdakxbg2yn-l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"Невыясненным (ошибочным) поступлениям" относятся поступившие платежи, указанные в выписке банка, по которым отсутствуют платежные документы, а также платежи, поступившие от плательщиков, состоящих на учете в ином, чем указано в платежном документе, налоговом органе, или без указания/неточного указания назначения и/или кода платежа.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Платежи по бюджетным средствам, учтенные в КСК "Невыясненные (ошибочные) поступления" и принадлежность которых к виду дохода не установлена, могут числиться на данном счете не более двух месяцев со дня их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РОК после выяснения принадлежности указанных платежей к определенному виду дохода осуществляет операции по перечислению указанных средств по назначению: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соответствующие счета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соответствующий элемент классификации доходов при получении подтверждающих платежных документов от банка-агента посредством ВКП;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 средств плательщику платежным поручением на основании письменного заявления плательщика на имя заведующего 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 средств посредством МКП в РОК по месту регистрации в налоговом органе, на учете которого состоит плательщик.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 истечении двух месяцев администратор поступлений доходов бюджета поступившего дохода не определен, РОК осуществляет перечисление поступивших сумм посредством ВКП в доход республиканского бюджета и учитывает по элементу классификации доходов 14511200 "Прочие неналоговые поступления".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ошибочном зачислении плательщиком таможенных пошлин на счета РОК, РОК осуществляет запись в КСК "Невыясненные (ошибочные) поступления" и на следующий рабочий день перечисляет платежным документом на Единый счет Центрального казначейства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Платежи, поступившие с 1 по 31 декабря отчетного года, перечисляются с КСК "Невыясненные (ошибочные) поступления" в доход республиканского бюджета и учитываются по элементу классификации доходов 14511200 "Прочие неналоговые поступления".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Платежи по специальным средствам, учтенные в КСК "Невыясненные (ошибочные) поступления" без указания наименования бюджетного учреждения и элемента дохода, могут числиться на данном счете не более двух месяцев со дня их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указанного срока платежи по специальным средствам, учтенные в КСК "Невыясненные (ошибочные) поступления", и платежи, поступившие в декабре (до 30 декабря отчетного года), возвращаются РОК на расчетные счета плательщиков, указанные в платежных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платежам, поступившим 31 декабря отчетного года и учтенным в КСК "Невыясненные (ошибочные) поступления" (специальные средства), РОК представляет в Центральное казначейство информацию, с приложением платежных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учете бюджетных средств, уплаченных плательщиком наличными средствами, поступивших по выписке банка-агента и отраженных в КСК "Невыясненные (ошибочные) поступления", РОК осуществляет возврат этих платежей на основании письма, представленного администратором поступлений доходов бюджета, с приложением копий платежных документов и документов, удостоверяющих личность 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течение двух месяцев со дня зачисления принадлежность внесенных наличных денежных средств не установлена, РОК перечисляет данные денежные средства в доход республиканского бюджета и осуществляется учет по элементу классификации доходов 14511200 "Прочие неналоговые поступления".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АСК автоматически формируется уведомление о выяснении денежных средств, которое доступно уполномоченному государственному органу в сфере таможенного дела (</w:t>
      </w:r>
      <w:hyperlink w:history="1" r:id="rIdaed7ucvoj5e_-i2tnk2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основании полученного уведомления уполномоченный государственный орган в сфере таможенного дела заполняет уведомление о принадлежности денежных средств по соответствующим кодам классификации доходов и направляет в Центральное казначейство электронный формат заполненного уведомления через АСК.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Центральное казначейство на основании представленного уведомления перечисляет денежные средства согласно кодам платежей и определению их принадлежности.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 доходов бюджетов разных уровней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Учет доходов бюджетов разных уровней осуществляется в АСК в соответствии с процедурами по ведению учета и отчетности по исполнению государственного бюджета. Все операции с доходами бюджетов разных уровней отражаются в соответствующих формах учета, установленных настоящей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Введенные в АСК электронные формы выписок банков-агентов учитываются по каждой операции, с указанием соответствующих граф платежного поручения.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Реестры МКП (</w:t>
      </w:r>
      <w:hyperlink w:history="1" r:id="rIdya6yqw4l8adm3xbnv55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15</w:t>
        </w:r>
      </w:hyperlink>
      <w:r>
        <w:rPr>
          <w:rFonts w:ascii="Arial" w:cs="Arial" w:eastAsia="Arial" w:hAnsi="Arial"/>
          <w:sz w:val="24"/>
          <w:szCs w:val="24"/>
        </w:rPr>
        <w:t xml:space="preserve">), ВКП (</w:t>
      </w:r>
      <w:hyperlink w:history="1" r:id="rIdwfz7kygvmtzt2shmukc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16</w:t>
        </w:r>
      </w:hyperlink>
      <w:r>
        <w:rPr>
          <w:rFonts w:ascii="Arial" w:cs="Arial" w:eastAsia="Arial" w:hAnsi="Arial"/>
          <w:sz w:val="24"/>
          <w:szCs w:val="24"/>
        </w:rPr>
        <w:t xml:space="preserve">) формируются в АСК на основании заявок бюджетного учреждения, с указанием соответствующих реквизитов МКП и ВКП.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МКП и ВКП хранятся в РОК, а приложения (переводные поручения) с соответствующим реестром передаются администраторам поступлений доходов бюджета, находящимся на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возврате или зачете проводится запись в Журнале регистрации заключений администраторов поступлений доходов бюджета (</w:t>
      </w:r>
      <w:hyperlink w:history="1" r:id="rId_jppra10gls45ck369c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17</w:t>
        </w:r>
      </w:hyperlink>
      <w:r>
        <w:rPr>
          <w:rFonts w:ascii="Arial" w:cs="Arial" w:eastAsia="Arial" w:hAnsi="Arial"/>
          <w:sz w:val="24"/>
          <w:szCs w:val="24"/>
        </w:rPr>
        <w:t xml:space="preserve">) посредством АСК с указанием номера документа, наименования плательщика, указанного в заключении администратора поступлений доходов бюджета на зачет или возврат излишне уплаченных/взысканных сумм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государственный орган в сфере таможенного дела представляет в Центральное казначейство электронный вариант заявки на зачет таможенных пошлин или возврат на расчетный счет плательщика, с последующим представлением бумажного варианта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Журнале регистрации заявок на зачет или возврат по таможенным пошлинам обработанной информации по проведенным заявкам по таможенным пошлинам, введенным в АСК, присваивается идентификационный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заявке на зачет и возврат по таможенным пошлинам, заключениям других администраторов поступлений доходов бюджета на зачет или возврат излишне уплаченных/взысканных сумм отражаются суммы денежных средств, подлежащих возврату (зачету) из бюджетов разных уровней.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Отражение сумм денежных средств в АСК, подлежащих возврату (зачету) из бюджетов разных уровней, производится по каждой записи заявки на зачет и возврат по таможенным пошлинам, заключениям администраторов поступлений доходов бюджета на зачет или возврат излишне уплаченных/взысканных сумм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АСК ежедневно формирует реестры поступивших доходов, в разрезе видов доходов и поступлений в бюджеты разных уровней, отдельно по банковским документам (</w:t>
      </w:r>
      <w:hyperlink w:history="1" r:id="rIdjmvpbummsqpd2tkzk3y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18</w:t>
        </w:r>
      </w:hyperlink>
      <w:r>
        <w:rPr>
          <w:rFonts w:ascii="Arial" w:cs="Arial" w:eastAsia="Arial" w:hAnsi="Arial"/>
          <w:sz w:val="24"/>
          <w:szCs w:val="24"/>
        </w:rPr>
        <w:t xml:space="preserve">), МКП, ВКП, расчетным документам, заявкам на зачет/возврат по таможенным пошлинам, заключениям администраторов поступлений доходов бюджета на зачет или возврат излишне уплаченных/взысканных сумм доходов, казначейским заключениям (</w:t>
      </w:r>
      <w:hyperlink w:history="1" r:id="rIdtq-1eyzypiwgqinw4w3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19</w:t>
        </w:r>
      </w:hyperlink>
      <w:r>
        <w:rPr>
          <w:rFonts w:ascii="Arial" w:cs="Arial" w:eastAsia="Arial" w:hAnsi="Arial"/>
          <w:sz w:val="24"/>
          <w:szCs w:val="24"/>
        </w:rPr>
        <w:t xml:space="preserve">), отчеты по поступлению и распределению таможенных пошлин.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доходы группируются по элементам классификации доходов, с указанием итоговых сумм по каждому виду дохода, по видам бюджета согласно установленным нормативам отчислений и формируются в ежедневный сводный реестр (МКП, ВКП, заявки по таможенным пошлинам, заключения, казначейские заключения, выписки банка-агента).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уточнения всех поступлений по реестрам в АСК ежедневно формируется сводный реестр по поступившим доходам, который ежедневно передается с приложением документов соответствующим администраторам поступлений доходов бюджета ответственным сотрудником 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Центральное казначейство в АСК формирует ежедневные сведения о поступивших доходах государственного бюджета и отчеты по поступившим и распределенным таможенным пошлинам, которые представляются заинтересованным органам Кыргызской Республики и государствам - членам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Сводный реестр поступивших доходов оформляется в двух экземплярах и подписывается исполнителем и заведующим РОК. Первый экземпляр реестра с выпиской учреждения банка остается в РОК, второй экземпляр с приложением платежных документов передается под роспись уполномоченным лицам администраторов поступлений доходов бюджета (</w:t>
      </w:r>
      <w:hyperlink w:history="1" r:id="rIdt_z-jriez8nvqu_o88y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20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РОК ежедневно, после обработки всех поступивших платежей в АСК закрывает банковский день для зачисления доходов по бюджетам разных уровней.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Для учета поступления и распределения доходов между бюджетами разных уровней бюджетной системы Кыргызской Республики в АСК формируется КСК "Доходы по МКП", "Доходы по ВКП" (</w:t>
      </w:r>
      <w:hyperlink w:history="1" r:id="rIdoadoycwpemonsuictvg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Доходы распределяются в АСК между бюджетами разных уровней по нормативам отчислений (в процентах) в соответствии с законодательством Кыргызской Республики, устанавливаемым на соответствующий финансовый год, а в части, касающейся местных налогов и сборов, - нормативными правовыми актами органов местного самоуправления, о местных бюджетах на соответствующий финансовый год в целом по сумме поступившего дохода (элементу классификации доходов).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Не допускается распределение отдельных видов закрепленных источников доходов как из одного бюджетного уровня в другой бюджетный уровень, а также внутри бюджетных уровней.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недостаточности средств дохода какого-либо бюджетного уровня, при распределении доходов между бюджетами разных уровней, допускается частичное исполнение заключений администраторов поступлений доходов бюджета по возврату плательщику излишне уплаченных/взысканных сумм дохода и ошибочно зачисленных сумм в доход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излишне уплаченных/взысканных сумм дохода, подлежащих перечислению плательщикам, и не исполненный за текущий день, учитывается при распределении доходов между бюджетами разных уровней на следующий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изменения нормативов отчислений в соответствующем законодательстве Кыргызской Республики возврат доходов осуществляется по нормативам отчислений, установленным в текущем финансовом году, без перерасчета ранее уплаченных платежей между бюджетами.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РОК осуществляет операции по перерасчетам между бюджетами разных уровней, кроме перерасчетов по доходам республиканского бюджета, которые осуществляются Центральным казначейством, и перечисление доходов в бюджеты разных уровней в пределах сумм текущих однодневных поступлений. При недостаточности доходов дня, операция перераспределения доходов исполняется частично.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Перерасчеты между бюджетами, неисполненные на конец текущего финансового года, осуществляются в следующем финансовом году за счет поступлений в новом финансовом году, если иное не установлено Законом Кыргызской Республики о республиканском бюджете на соответствующий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Доходы прошлых лет распределяются по нормативам отчислений, установленным законодательством Кыргызской Республики на текущий момент при зачислении денежных средств в доходную часть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Доходы, подлежащие уплате при принудительном изъятии, распределяются по нормативам и в порядке, установленными законодательством Кыргызской Республики на момент изъятия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Межказначейское поручение №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___________ 201_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 Дебет счета ____________ Сумма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казначейского счета)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 Кредит счета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(счет перевода)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кого ___________________________ ИНН 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 Подпись уполномоченного
 сотрудника Казначейства 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 Отметка РОК
 получателя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Внутриказначейское поручение №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___________ 201_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 Дебет счета ____________ Сумма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казначейского счета)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 Кредит счета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(счет перевода)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кого ___________________________ ИНН 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 Подпись уполномоченного
 сотрудника Казначейства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Казначейское заключение на возврат ошибочно зачисленной суммы по неналоговым платежам (нефинансовым активам)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 от _______________ 201_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бюджетной организации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Наименование РОК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Наименование банка получателя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№ расчетного (транзитного счета)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БИК банка ___________________________________ Реквизиты банка 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Наименование плательщика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Наименование РОК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Наименование банка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№ счета банка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БИК 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возврате ошибочно зачисленной суммы неналогового платежа (нефинансового актива)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Наименование неналогового платежа (нефинансового актива)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Элемент 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Исполнено РОК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8"/>
        <w:gridCol w:w="5720"/>
        <w:gridCol w:w="2790"/>
      </w:tblGrid>
      <w:tr>
        <w:tc>
          <w:tcPr>
            <w:tcW w:type="dxa" w:w="16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</w:t>
            </w:r>
          </w:p>
        </w:tc>
        <w:tc>
          <w:tcPr>
            <w:tcW w:type="dxa" w:w="5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заведующего РОК</w:t>
            </w:r>
          </w:p>
        </w:tc>
        <w:tc>
          <w:tcPr>
            <w:tcW w:type="dxa" w:w="2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исполнителя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исполнения РОК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Казначейское заключение на перевод излишне уплаченного неналогового платежа (нефинансового актива) на другой платеж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 от "__" ______________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бюджетной организации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Наименование РОК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Наименование банка получателя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№ расчетного (транзитного счета)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БИК банка ____________________ Реквизиты банка 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Наименование плательщика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Наименование РОК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Наименование банка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№ счета банка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БИК 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Информация о зачете перевода, излишне уплаченного неналогового платежа (нефинансового актива)
 на другой платеж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Наименование излишне уплаченного неналогового платежа (нефинансовых активов)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Элемент 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Наименование неналогового платежа (нефинансового актива), на который производится зачет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Элемент 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Исполнено РОК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3"/>
        <w:gridCol w:w="5229"/>
        <w:gridCol w:w="3165"/>
      </w:tblGrid>
      <w:tr>
        <w:tc>
          <w:tcPr>
            <w:tcW w:type="dxa" w:w="17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</w:t>
            </w:r>
          </w:p>
        </w:tc>
        <w:tc>
          <w:tcPr>
            <w:tcW w:type="dxa" w:w="5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заведующего РОК</w:t>
            </w:r>
          </w:p>
        </w:tc>
        <w:tc>
          <w:tcPr>
            <w:tcW w:type="dxa" w:w="3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исполнителя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исполнения РОК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 на зачет таможенных пошлин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"__" __________________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Рег. №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Единица измерения: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9"/>
        <w:gridCol w:w="1129"/>
        <w:gridCol w:w="527"/>
        <w:gridCol w:w="1262"/>
        <w:gridCol w:w="810"/>
        <w:gridCol w:w="1262"/>
        <w:gridCol w:w="433"/>
        <w:gridCol w:w="1262"/>
        <w:gridCol w:w="433"/>
        <w:gridCol w:w="669"/>
        <w:gridCol w:w="1262"/>
      </w:tblGrid>
      <w:tr>
        <w:tc>
          <w:tcPr>
            <w:tcW w:type="dxa" w:w="225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зачета</w:t>
            </w:r>
          </w:p>
        </w:tc>
        <w:tc>
          <w:tcPr>
            <w:tcW w:type="dxa" w:w="5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2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плательщика</w:t>
            </w:r>
          </w:p>
        </w:tc>
        <w:tc>
          <w:tcPr>
            <w:tcW w:type="dxa" w:w="8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плательщика</w:t>
            </w:r>
          </w:p>
        </w:tc>
        <w:tc>
          <w:tcPr>
            <w:tcW w:type="dxa" w:w="12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таможенного органа</w:t>
            </w:r>
          </w:p>
        </w:tc>
        <w:tc>
          <w:tcPr>
            <w:tcW w:type="dxa" w:w="4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БК</w:t>
            </w:r>
          </w:p>
        </w:tc>
        <w:tc>
          <w:tcPr>
            <w:tcW w:type="dxa" w:w="12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таможенного органа</w:t>
            </w:r>
          </w:p>
        </w:tc>
        <w:tc>
          <w:tcPr>
            <w:tcW w:type="dxa" w:w="4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БК</w:t>
            </w:r>
          </w:p>
        </w:tc>
        <w:tc>
          <w:tcPr>
            <w:tcW w:type="dxa" w:w="6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зачета</w:t>
            </w:r>
          </w:p>
        </w:tc>
        <w:tc>
          <w:tcPr>
            <w:tcW w:type="dxa" w:w="12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ТОАП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Таможенного кодекса КР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заключения таможенного органа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Итого: 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Всего: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
 (должность, подпись) (расшифровка подписи)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
 (должность, подпись) (расшифровка подписи)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 на возврат таможенных пошлин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Рег. №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Единица измерения: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0"/>
        <w:gridCol w:w="1090"/>
        <w:gridCol w:w="1090"/>
        <w:gridCol w:w="1480"/>
        <w:gridCol w:w="824"/>
        <w:gridCol w:w="824"/>
        <w:gridCol w:w="824"/>
        <w:gridCol w:w="507"/>
        <w:gridCol w:w="973"/>
        <w:gridCol w:w="1480"/>
      </w:tblGrid>
      <w:tr>
        <w:tc>
          <w:tcPr>
            <w:tcW w:type="dxa" w:w="3270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возврата</w:t>
            </w:r>
          </w:p>
        </w:tc>
        <w:tc>
          <w:tcPr>
            <w:tcW w:type="dxa" w:w="14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плательщика</w:t>
            </w:r>
          </w:p>
        </w:tc>
        <w:tc>
          <w:tcPr>
            <w:tcW w:type="dxa" w:w="247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банка получателя</w:t>
            </w:r>
          </w:p>
        </w:tc>
        <w:tc>
          <w:tcPr>
            <w:tcW w:type="dxa" w:w="5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БК</w:t>
            </w:r>
          </w:p>
        </w:tc>
        <w:tc>
          <w:tcPr>
            <w:tcW w:type="dxa" w:w="9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возврата</w:t>
            </w:r>
          </w:p>
        </w:tc>
        <w:tc>
          <w:tcPr>
            <w:tcW w:type="dxa" w:w="14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ТОАП</w:t>
            </w:r>
          </w:p>
        </w:tc>
      </w:tr>
      <w:tr>
        <w:tc>
          <w:tcPr>
            <w:tcW w:type="dxa" w:w="1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Таможенного кодекса КР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заключения таможенного органа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БИК банка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р/с получателя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Всего: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
 (замещающее его лицо)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
 (подпись) (расшифровка подписи)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
 (должность,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 по ежедневной информации о валютных суммах по распределенным таможенным пошлинам от государств - членов Евразийского экономического союза (ЕАЭС)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(тенге)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1"/>
        <w:gridCol w:w="1338"/>
        <w:gridCol w:w="1532"/>
        <w:gridCol w:w="1532"/>
        <w:gridCol w:w="1532"/>
        <w:gridCol w:w="1532"/>
        <w:gridCol w:w="1532"/>
      </w:tblGrid>
      <w:tr>
        <w:tc>
          <w:tcPr>
            <w:tcW w:type="dxa" w:w="11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поступления</w:t>
            </w:r>
          </w:p>
        </w:tc>
        <w:tc>
          <w:tcPr>
            <w:tcW w:type="dxa" w:w="13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76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 Казахстан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6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Элементы по БК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Ввозные таможенные пошлины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Казахстан по перечислению сумм от распределения ввозных таможенных пошлин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Специальные, антидемпинговые и компенсационные пошлины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поступило от Республики Казахстан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11521100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11522100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11523100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11524100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период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______ по ______ 20__ г.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за месяц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______ по ______ 20__ г.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с начала года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______ по ______ 20__ г.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(бел. рубль)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0"/>
        <w:gridCol w:w="1289"/>
        <w:gridCol w:w="1532"/>
        <w:gridCol w:w="1532"/>
        <w:gridCol w:w="1532"/>
        <w:gridCol w:w="1532"/>
        <w:gridCol w:w="1532"/>
      </w:tblGrid>
      <w:tr>
        <w:tc>
          <w:tcPr>
            <w:tcW w:type="dxa" w:w="12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поступления</w:t>
            </w:r>
          </w:p>
        </w:tc>
        <w:tc>
          <w:tcPr>
            <w:tcW w:type="dxa" w:w="12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76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 Беларусь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6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Элементы по БК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Ввозные таможенные пошлины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Беларусь по перечислению сумм от распределения ввозных таможенных пошлин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Специальные, антидемпинговые и компенсационные пошлины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поступило от Республики Беларусь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11521200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1152200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11523200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11524200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период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______ по ______ 20__ г.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за месяц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______ по ______ 20__ г.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с начала года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______ по ______ 20__ г.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(рубль)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0"/>
        <w:gridCol w:w="1327"/>
        <w:gridCol w:w="1524"/>
        <w:gridCol w:w="1524"/>
        <w:gridCol w:w="1524"/>
        <w:gridCol w:w="1524"/>
        <w:gridCol w:w="1524"/>
      </w:tblGrid>
      <w:tr>
        <w:tc>
          <w:tcPr>
            <w:tcW w:type="dxa" w:w="12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поступления</w:t>
            </w:r>
          </w:p>
        </w:tc>
        <w:tc>
          <w:tcPr>
            <w:tcW w:type="dxa" w:w="13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762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Российская Федерация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Элементы по БК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Ввозные таможенные пошлины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Проценты, поступившие за несвоевременное исполнение обязательств Российской Федерацией по перечислению сумм от распределения ввозных таможенных пошлин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Специальные, антидемпинговые и компенсационные пошлины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поступило от Российской Федерации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11521300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11522300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11523300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11524300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период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______ по ______ 20__ г.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за месяц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______ по ______ 20__ г.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с начала года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______ по ______ 20__ г.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(драм)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0"/>
        <w:gridCol w:w="1291"/>
        <w:gridCol w:w="1532"/>
        <w:gridCol w:w="1532"/>
        <w:gridCol w:w="1532"/>
        <w:gridCol w:w="1532"/>
        <w:gridCol w:w="1532"/>
      </w:tblGrid>
      <w:tr>
        <w:tc>
          <w:tcPr>
            <w:tcW w:type="dxa" w:w="12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поступления</w:t>
            </w:r>
          </w:p>
        </w:tc>
        <w:tc>
          <w:tcPr>
            <w:tcW w:type="dxa" w:w="12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76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 Армения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6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Элементы по БК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Ввозные таможенные пошлины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Армения по перечислению сумм от распределения ввозных таможенных пошлин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Специальные, антидемпинговые и компенсационные пошлины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поступило от Республики Армения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11521400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11522400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11523400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11524400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период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______ по ______ 20__ г.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за месяц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______ по ______ 20__ г.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с начала года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______ по ______ 20__ г.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регистрации заявок на зачет или возврат таможенных пошлин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59"/>
        <w:gridCol w:w="687"/>
        <w:gridCol w:w="687"/>
        <w:gridCol w:w="687"/>
        <w:gridCol w:w="687"/>
        <w:gridCol w:w="687"/>
        <w:gridCol w:w="687"/>
        <w:gridCol w:w="568"/>
        <w:gridCol w:w="568"/>
        <w:gridCol w:w="568"/>
        <w:gridCol w:w="725"/>
        <w:gridCol w:w="902"/>
        <w:gridCol w:w="1064"/>
      </w:tblGrid>
      <w:tr>
        <w:tc>
          <w:tcPr>
            <w:tcW w:type="dxa" w:w="16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регистрации заявки на возврат или зачет</w:t>
            </w:r>
          </w:p>
        </w:tc>
        <w:tc>
          <w:tcPr>
            <w:tcW w:type="dxa" w:w="412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плательщика</w:t>
            </w:r>
          </w:p>
        </w:tc>
        <w:tc>
          <w:tcPr>
            <w:tcW w:type="dxa" w:w="170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получателя</w:t>
            </w:r>
          </w:p>
        </w:tc>
        <w:tc>
          <w:tcPr>
            <w:tcW w:type="dxa" w:w="7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9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Возврат или зачет</w:t>
            </w:r>
          </w:p>
        </w:tc>
        <w:tc>
          <w:tcPr>
            <w:tcW w:type="dxa" w:w="10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заключения таможенного органа</w:t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БК</w:t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ТОАП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ТОАП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БК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Расчетный документ
 по распределенным таможенным пошлинам для перечисления государствам - членам ЕАЭС
 за ________________ 201_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547"/>
        <w:gridCol w:w="3332"/>
        <w:gridCol w:w="989"/>
        <w:gridCol w:w="1634"/>
        <w:gridCol w:w="1484"/>
        <w:gridCol w:w="838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п/н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бюджетной классификации</w:t>
            </w:r>
          </w:p>
        </w:tc>
        <w:tc>
          <w:tcPr>
            <w:tcW w:type="dxa" w:w="3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элемента</w:t>
            </w:r>
          </w:p>
        </w:tc>
        <w:tc>
          <w:tcPr>
            <w:tcW w:type="dxa" w:w="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отчислений</w:t>
            </w:r>
          </w:p>
        </w:tc>
        <w:tc>
          <w:tcPr>
            <w:tcW w:type="dxa" w:w="1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 - членов ЕАЭС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Расчетный счет государств - членов ЕАЭС</w:t>
            </w:r>
          </w:p>
        </w:tc>
        <w:tc>
          <w:tcPr>
            <w:tcW w:type="dxa" w:w="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
 (в нац. валюте)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11516100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суммы ввозных таможенных пошлин, перечисленные на счет в иностранной валюте Республики Казахстан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11516200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суммы ввозных таможенных пошлин, перечисленные на счет в иностранной валюте Республики Беларусь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11516300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суммы ввозных таможенных пошлин, перечисленные на счет в иностранной валюте Российской Федерации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11516400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суммы ввозных таможенных пошлин, перечисленные на счет в иностранной валюте Республики Армения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11516500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суммы ввозных таможенных пошлин, перечисленные на счет Кыргызской Республики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подгруппе 11516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11517100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Казахстан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11517200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Беларусь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11517300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Российской Федерации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11517400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Армения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11517500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Кыргызской Республики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элементу 11511200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22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регистрации расчетного документа
 за _______________ 201_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3"/>
        <w:gridCol w:w="657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914"/>
      </w:tblGrid>
      <w:tr>
        <w:tc>
          <w:tcPr>
            <w:tcW w:type="dxa" w:w="10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поступлений</w:t>
            </w:r>
          </w:p>
        </w:tc>
        <w:tc>
          <w:tcPr>
            <w:tcW w:type="dxa" w:w="6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752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элемента</w:t>
            </w:r>
          </w:p>
        </w:tc>
        <w:tc>
          <w:tcPr>
            <w:tcW w:type="dxa" w:w="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отчислено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15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15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15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15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11516100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11517100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11516200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11517200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11516300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11517300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11516400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11517400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11516500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11517500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период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 по _____ 20__ г.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за месяц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 по _____ 20__ г.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с начала года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 по _____ 20__ г.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
 _________________________________________________________________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органа государства - члена Евразийского экономического союза)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зачислении и распределении сумм ввозных таможенных пошлин
 за "__" ____________ 201_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86"/>
        <w:gridCol w:w="2396"/>
        <w:gridCol w:w="2396"/>
      </w:tblGrid>
      <w:tr>
        <w:tc>
          <w:tcPr>
            <w:tcW w:type="dxa" w:w="538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47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день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начала года</w:t>
            </w:r>
          </w:p>
        </w:tc>
      </w:tr>
      <w:tr>
        <w:tc>
          <w:tcPr>
            <w:tcW w:type="dxa" w:w="5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1. В национальной валюте государства - члена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Суммы таможенных пошлин, зачисленные на единый счет уполномоченного органа государства - члена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Суммы исполненных уполномоченным органом государства - члена в отчетном дне зачетов в счет уплаты таможенных пошлин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Суммы таможенных пошлин, зачтенные в отчетном дне в счет погашения задолженности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Суммы таможенных пошлин, зачтенные в текущем дне в счет погашения задолженности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Суммы таможенных пошлин, возвращенные в отчетном дне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Суммы таможенных пошлин, подлежащие возврату в текущем дне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Суммы возврата таможенных пошлин, не принятые национальным (центральным) банком к исполнению в отчетном дне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Суммы таможенных пошлин, подлежащие распределению между государствами - членами, всего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 бюджет Республики Беларусь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 бюджет Республики Казахстан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в бюджет Российской Федерации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в бюджет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государства-члена)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Суммы распределенных таможенных пошлин, перечисленные на счета в иностранной валюте других государств - членов, всего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 - члена)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 - члена)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 - члена)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Суммы поступлений в бюджет государства - члена доходов от распределения таможенных пошлин, перечисленные с единого счета уполномоченного органа этого государства - члена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Суммы распределенных ввозных таможенных пошлин, перечисление которых на счета в иностранной валюте других государств - членов приостановлено, всего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 - члена)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11.2.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 - члена)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11.3.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 - члена)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2. В иностранной валюте других государств - членов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Суммы поступлений на счета в иностранной валюте уполномоченного органа государства - члена: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12.1. от ___________________________,
 (наименование государства - члена)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__________________________________, всего
 (наименование национальной валюты)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12.1.1. доходы от распределения ввозных таможенных пошлин, поступившие на счета в иностранной валюте уполномоченного органа государства - члена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12.1.2. сумма поступивших на счета в иностранной валюте уполномоченного органа государства - члена процентов за просрочку при нарушении исполнения требований, предусмотренных Протоколом(*)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12.2. от ___________________________,
 (наименование государства - члена)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___________________________________, всего
 (наименование национальной валюты)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12.2.1. доходы от распределения ввозных таможенных пошлин, поступившие на счета в иностранной валюте уполномоченного органа государства - члена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12.2.2. сумма поступивших на счета в иностранной валюте уполномоченного органа государства - члена процентов за просрочку при нарушении исполнения требований, предусмотренных Протоколом(*)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12.3. от ___________________________,
 (наименование государства - члена)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__________________________________, всего
 (наименование национальной валюты)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12.3.1. доходы от распределения ввозных таможенных пошлин, поступившие на счета в иностранной валюте уполномоченного органа государства - члена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12.3.2. сумма поступивших на счета в иностранной валюте уполномоченного органа государства - члена процентов за просрочку при нарушении исполнения требований, предусмотренных Протоколом(*)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предыдущего отчета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_____________ 20__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 (уполномоченное лицо)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Ответственный 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
 (номер телефона)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Протокол о порядке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 - членов (приложение № 5 к Договору о Евразийском экономическом союзе от 29 мая 2014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12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
 _______________________________________________________________________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органа государства - члена Евразийского экономического союза)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зачислении и распределении сумм специальных, антидемпинговых, компенсационных пошлин
 за "__" ____________ 201_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86"/>
        <w:gridCol w:w="2396"/>
        <w:gridCol w:w="2396"/>
      </w:tblGrid>
      <w:tr>
        <w:tc>
          <w:tcPr>
            <w:tcW w:type="dxa" w:w="538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47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день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начала года</w:t>
            </w:r>
          </w:p>
        </w:tc>
      </w:tr>
      <w:tr>
        <w:tc>
          <w:tcPr>
            <w:tcW w:type="dxa" w:w="5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1. В национальной валюте государства - члена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Суммы специальных, антидемпинговых, компенсационных пошлин, зачисленные на единый счет уполномоченного органа государства - члена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Суммы исполненных уполномоченным органом государства - члена в отчетном дне зачетов в счет уплаты специальных, антидемпинговых, компенсационных пошлин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Суммы специальных, антидемпинговых, компенсационных пошлин, зачтенные в отчетном дне в счет погашения задолженности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Суммы специальных, антидемпинговых, компенсационных пошлин, зачтенные в текущем дне в счет погашения задолженности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Суммы специальных, антидемпинговых, компенсационных пошлин, возвращенные в отчетном дне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Суммы специальных, антидемпинговых, компенсационных пошлин, подлежащие возврату в текущем дне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Суммы возврата специальных, антидемпинговых, компенсационных пошлин, не принятые национальным (центральным) банком к исполнению в отчетном дне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Суммы специальных, антидемпинговых, компенсационных пошлин, подлежащие распределению между государствами - членами, - всего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 бюджет Республики Беларусь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 бюджет Республики Казахстан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В бюджет Российской Федерации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В бюджет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 - члена)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Суммы распределенных специальных, антидемпинговых, компенсационных пошлин, перечисленные на счета в иностранной валюте других государств - членов, всего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 - члена)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 - члена)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 - члена)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Суммы поступлений в бюджет государства - члена доходов от распределения специальных, антидемпинговых, компенсационных пошлин, перечисленные с единого счета уполномоченного органа этого государства - члена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Суммы распределенных специальных, антидемпинговых, компенсационных пошлин, перечисление которых на счета в иностранной валюте других государств - членов приостановлено, всего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 - члена)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11.2.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 - члена)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11.3.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 - члена)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2. В национальных валютах других государств - членов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Суммы поступлений на счета в иностранной валюте уполномоченного органа государства - члена: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12.1. от ___________________________,
 (наименование государства - члена)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__________________________________, всего
 (наименование национальной валюты)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12.1.1. доходы от распределения специальных, антидемпинговых, компенсационных пошлин, поступившие на счета в иностранной валюте уполномоченного органа государства - члена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12.1.2. сумма поступивших на счета в иностранной валюте уполномоченного органа государства - члена процентов за просрочку при нарушении исполнения требований, предусмотренных Протоколом(*)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12.2. от ___________________________,
 (наименование государства - члена)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__________________________________, всего
 (наименование национальной валюты)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12.2.1. доходы от распределения специальных, антидемпинговых, компенсационных пошлин, поступившие на счета в иностранной валюте уполномоченного органа государства - члена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12.2.2. сумма поступивших на счета в иностранной валюте уполномоченного органа государства - члена процентов за просрочку при нарушении исполнения требований, предусмотренных Протоколом(*)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12.3. от ___________________________,
 (наименование государства - члена)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__________________________________, всего
 (наименование национальной валюты)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12.3.1. доходы от распределения специальных, антидемпинговых, компенсационных пошлин, поступившие на счета в иностранной валюте уполномоченного органа государства - члена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12.3.2. сумма поступивших на счета в иностранной валюте уполномоченного органа государства - члена процентов за просрочку при нарушении исполнения требований, предусмотренных Протоколом(*)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предыдущего отчета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_____________ 20__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 (уполномоченное лицо)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Ответственный 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
 (номер телефона)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Протокол о порядке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 - членов (приложение № 5 к Договору о Евразийском экономическом союзе от 29 мая 2014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13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КСК "Невыясненные ошибочные поступления"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с "__" ________________ по "__" _______________ 201_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счета: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3"/>
        <w:gridCol w:w="756"/>
        <w:gridCol w:w="756"/>
        <w:gridCol w:w="1842"/>
        <w:gridCol w:w="1437"/>
        <w:gridCol w:w="1464"/>
        <w:gridCol w:w="876"/>
        <w:gridCol w:w="876"/>
        <w:gridCol w:w="1087"/>
      </w:tblGrid>
      <w:tr>
        <w:tc>
          <w:tcPr>
            <w:tcW w:type="dxa" w:w="10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операции</w:t>
            </w:r>
          </w:p>
        </w:tc>
        <w:tc>
          <w:tcPr>
            <w:tcW w:type="dxa" w:w="15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Платежный документ</w:t>
            </w:r>
          </w:p>
        </w:tc>
        <w:tc>
          <w:tcPr>
            <w:tcW w:type="dxa" w:w="18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получателя</w:t>
            </w:r>
          </w:p>
        </w:tc>
        <w:tc>
          <w:tcPr>
            <w:tcW w:type="dxa" w:w="14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платежа</w:t>
            </w:r>
          </w:p>
        </w:tc>
        <w:tc>
          <w:tcPr>
            <w:tcW w:type="dxa" w:w="14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классификации</w:t>
            </w:r>
          </w:p>
        </w:tc>
        <w:tc>
          <w:tcPr>
            <w:tcW w:type="dxa" w:w="17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Корректировочный счет</w:t>
            </w:r>
          </w:p>
        </w:tc>
        <w:tc>
          <w:tcPr>
            <w:tcW w:type="dxa" w:w="10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 сальдо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ДТ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оборотов: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14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 о выяснении денежных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с ________________ по _______________ 201_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счета: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1"/>
        <w:gridCol w:w="550"/>
        <w:gridCol w:w="550"/>
        <w:gridCol w:w="1227"/>
        <w:gridCol w:w="1256"/>
        <w:gridCol w:w="1215"/>
        <w:gridCol w:w="609"/>
        <w:gridCol w:w="1300"/>
        <w:gridCol w:w="1300"/>
        <w:gridCol w:w="1300"/>
      </w:tblGrid>
      <w:tr>
        <w:tc>
          <w:tcPr>
            <w:tcW w:type="dxa" w:w="87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операции</w:t>
            </w:r>
          </w:p>
        </w:tc>
        <w:tc>
          <w:tcPr>
            <w:tcW w:type="dxa" w:w="11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Платежный документ</w:t>
            </w:r>
          </w:p>
        </w:tc>
        <w:tc>
          <w:tcPr>
            <w:tcW w:type="dxa" w:w="12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получателя</w:t>
            </w:r>
          </w:p>
        </w:tc>
        <w:tc>
          <w:tcPr>
            <w:tcW w:type="dxa" w:w="12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платежа</w:t>
            </w:r>
          </w:p>
        </w:tc>
        <w:tc>
          <w:tcPr>
            <w:tcW w:type="dxa" w:w="12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классификации</w:t>
            </w:r>
          </w:p>
        </w:tc>
        <w:tc>
          <w:tcPr>
            <w:tcW w:type="dxa" w:w="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0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Уточненные реквизиты поручателя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получателя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классификации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оборотов: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оборотов: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15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 МКП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"__" __________________ 20__ года
 (число, месяц, год)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6"/>
        <w:gridCol w:w="1559"/>
        <w:gridCol w:w="2583"/>
        <w:gridCol w:w="1921"/>
        <w:gridCol w:w="2170"/>
      </w:tblGrid>
      <w:tr>
        <w:tc>
          <w:tcPr>
            <w:tcW w:type="dxa" w:w="19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поступлений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2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бюджет</w:t>
            </w:r>
          </w:p>
        </w:tc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айыл окмоту</w:t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16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 ВКП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"__" __________________ 20__ года
 (число, месяц, год)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6"/>
        <w:gridCol w:w="1559"/>
        <w:gridCol w:w="2583"/>
        <w:gridCol w:w="1921"/>
        <w:gridCol w:w="2170"/>
      </w:tblGrid>
      <w:tr>
        <w:tc>
          <w:tcPr>
            <w:tcW w:type="dxa" w:w="19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поступлений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2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бюджет</w:t>
            </w:r>
          </w:p>
        </w:tc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айыл окмоту</w:t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17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заключений администраторов поступлений доходов бюджета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247"/>
        <w:gridCol w:w="1048"/>
        <w:gridCol w:w="1219"/>
        <w:gridCol w:w="633"/>
        <w:gridCol w:w="608"/>
        <w:gridCol w:w="1359"/>
        <w:gridCol w:w="633"/>
        <w:gridCol w:w="747"/>
        <w:gridCol w:w="1280"/>
        <w:gridCol w:w="1101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налогового органа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Дата, номер заключения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плательщика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налога</w:t>
            </w:r>
          </w:p>
        </w:tc>
        <w:tc>
          <w:tcPr>
            <w:tcW w:type="dxa" w:w="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зачисляется (наименование плательщика)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налога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
 (в нац. валюте)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номер разрешения ЦК или финансового органа</w:t>
            </w:r>
          </w:p>
        </w:tc>
        <w:tc>
          <w:tcPr>
            <w:tcW w:type="dxa" w:w="1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исполнения или причина отказа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18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 поступивших доходов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"__" _________________ 20__ года
 (число, месяц, год)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6"/>
        <w:gridCol w:w="1559"/>
        <w:gridCol w:w="2583"/>
        <w:gridCol w:w="1921"/>
        <w:gridCol w:w="2170"/>
      </w:tblGrid>
      <w:tr>
        <w:tc>
          <w:tcPr>
            <w:tcW w:type="dxa" w:w="19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поступлений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2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бюджет</w:t>
            </w:r>
          </w:p>
        </w:tc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айыл окмоту</w:t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19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 казначейских заключений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"__" _________________ 20__ года
 (число, месяц, год)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6"/>
        <w:gridCol w:w="1559"/>
        <w:gridCol w:w="2583"/>
        <w:gridCol w:w="1921"/>
        <w:gridCol w:w="2170"/>
      </w:tblGrid>
      <w:tr>
        <w:tc>
          <w:tcPr>
            <w:tcW w:type="dxa" w:w="19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поступлений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2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бюджет</w:t>
            </w:r>
          </w:p>
        </w:tc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айыл окмоту</w:t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20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Сводный реестр поступивших доходов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"__" __________________ 20__ года
 (число, месяц, год)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6"/>
        <w:gridCol w:w="1559"/>
        <w:gridCol w:w="2583"/>
        <w:gridCol w:w="1921"/>
        <w:gridCol w:w="2170"/>
      </w:tblGrid>
      <w:tr>
        <w:tc>
          <w:tcPr>
            <w:tcW w:type="dxa" w:w="19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поступлений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2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бюджет</w:t>
            </w:r>
          </w:p>
        </w:tc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айыл окмоту</w:t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 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Сотрудник налогового органа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21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КСК "Доходы по МКП"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3"/>
        <w:gridCol w:w="923"/>
        <w:gridCol w:w="923"/>
        <w:gridCol w:w="923"/>
        <w:gridCol w:w="923"/>
        <w:gridCol w:w="1113"/>
        <w:gridCol w:w="1113"/>
        <w:gridCol w:w="1113"/>
        <w:gridCol w:w="1113"/>
        <w:gridCol w:w="1113"/>
      </w:tblGrid>
      <w:tr>
        <w:tc>
          <w:tcPr>
            <w:tcW w:type="dxa" w:w="4615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МКП</w:t>
            </w:r>
          </w:p>
        </w:tc>
        <w:tc>
          <w:tcPr>
            <w:tcW w:type="dxa" w:w="556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Приложение</w:t>
            </w:r>
          </w:p>
        </w:tc>
      </w:tr>
      <w:tr>
        <w:tc>
          <w:tcPr>
            <w:tcW w:type="dxa" w:w="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РОК отправителя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п/п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Плательщик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
 (в нац. валюте)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</w:t>
            </w:r>
          </w:p>
        </w:tc>
      </w:tr>
      <w:tr>
        <w:tc>
          <w:tcPr>
            <w:tcW w:type="dxa" w:w="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КСК "Доходы по ВКП"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4"/>
        <w:gridCol w:w="874"/>
        <w:gridCol w:w="874"/>
        <w:gridCol w:w="874"/>
        <w:gridCol w:w="874"/>
        <w:gridCol w:w="1162"/>
        <w:gridCol w:w="1162"/>
        <w:gridCol w:w="1162"/>
        <w:gridCol w:w="1162"/>
        <w:gridCol w:w="1162"/>
      </w:tblGrid>
      <w:tr>
        <w:tc>
          <w:tcPr>
            <w:tcW w:type="dxa" w:w="437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МКП</w:t>
            </w:r>
          </w:p>
        </w:tc>
        <w:tc>
          <w:tcPr>
            <w:tcW w:type="dxa" w:w="581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Приложение</w:t>
            </w:r>
          </w:p>
        </w:tc>
      </w:tr>
      <w:tr>
        <w:tc>
          <w:tcPr>
            <w:tcW w:type="dxa" w:w="8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Плательщик</w:t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п/п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Плательщик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
 (в нац. валюте)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</w:t>
            </w:r>
          </w:p>
        </w:tc>
      </w:tr>
      <w:tr>
        <w:tc>
          <w:tcPr>
            <w:tcW w:type="dxa" w:w="8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20qkchdw_ie2t_hak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dalil.kg/document/97830</w:t>
      </w:r>
    </w:hyperlink>
  </w:p>
  <w:p>
    <w:pPr>
      <w:spacing w:after="0" w:before="40"/>
      <w:jc w:val="center"/>
    </w:pPr>
    <w:hyperlink w:history="1" r:id="rId39ni8b-vx28dscwfpk4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q3gzf-azkxv-njgogy0" Type="http://schemas.openxmlformats.org/officeDocument/2006/relationships/hyperlink" Target="https://dalil.kg/document/230031227" TargetMode="External"/><Relationship Id="rIdat7z1naimbftvissaf6ui" Type="http://schemas.openxmlformats.org/officeDocument/2006/relationships/hyperlink" Target="https://dalil.kg/document/97829" TargetMode="External"/><Relationship Id="rIdu0idpbdsm0ik7k_-ytz9j" Type="http://schemas.openxmlformats.org/officeDocument/2006/relationships/hyperlink" Target="https://dalil.kg/document/97830#p1" TargetMode="External"/><Relationship Id="rIdzgo1f5jzrg9ip1dohmydx" Type="http://schemas.openxmlformats.org/officeDocument/2006/relationships/hyperlink" Target="https://dalil.kg/document/97830#p2" TargetMode="External"/><Relationship Id="rIdiel8gbhkzggpimud4uz_b" Type="http://schemas.openxmlformats.org/officeDocument/2006/relationships/hyperlink" Target="https://dalil.kg/document/97830#p3" TargetMode="External"/><Relationship Id="rIdkz3uuidhqiqp2gptm-tvd" Type="http://schemas.openxmlformats.org/officeDocument/2006/relationships/hyperlink" Target="https://dalil.kg/document/97830#p4" TargetMode="External"/><Relationship Id="rIdebmjla59lx5rmobr0kobs" Type="http://schemas.openxmlformats.org/officeDocument/2006/relationships/hyperlink" Target="https://dalil.kg/document/97830#p5" TargetMode="External"/><Relationship Id="rIdepazlfhrjodfwqyesvkoq" Type="http://schemas.openxmlformats.org/officeDocument/2006/relationships/hyperlink" Target="https://dalil.kg/document/97830#p6" TargetMode="External"/><Relationship Id="rId7c_1cc7glzy4j5jkez1ko" Type="http://schemas.openxmlformats.org/officeDocument/2006/relationships/hyperlink" Target="https://dalil.kg/document/97830#p7" TargetMode="External"/><Relationship Id="rIdpvhmfxelgi5xgzxzmyrkb" Type="http://schemas.openxmlformats.org/officeDocument/2006/relationships/hyperlink" Target="https://dalil.kg/document/97830#p8" TargetMode="External"/><Relationship Id="rIdnzftkjowc2qarzqgnuyhy" Type="http://schemas.openxmlformats.org/officeDocument/2006/relationships/hyperlink" Target="https://dalil.kg/document/97830#p9" TargetMode="External"/><Relationship Id="rId5wxgjdkwtxhqz05kasyvq" Type="http://schemas.openxmlformats.org/officeDocument/2006/relationships/hyperlink" Target="https://dalil.kg/document/97830#p10" TargetMode="External"/><Relationship Id="rIdqudahbozpwolabvwlpsmj" Type="http://schemas.openxmlformats.org/officeDocument/2006/relationships/hyperlink" Target="https://dalil.kg/document/97830#p11" TargetMode="External"/><Relationship Id="rIdzxsa1jmrouqr6ehzbr2fd" Type="http://schemas.openxmlformats.org/officeDocument/2006/relationships/hyperlink" Target="https://dalil.kg/document/97830#p12" TargetMode="External"/><Relationship Id="rIdr9bpihisdakxbg2yn-ljg" Type="http://schemas.openxmlformats.org/officeDocument/2006/relationships/hyperlink" Target="https://dalil.kg/document/97830#p13" TargetMode="External"/><Relationship Id="rIdaed7ucvoj5e_-i2tnk2lw" Type="http://schemas.openxmlformats.org/officeDocument/2006/relationships/hyperlink" Target="https://dalil.kg/document/97830#p14" TargetMode="External"/><Relationship Id="rIdya6yqw4l8adm3xbnv55da" Type="http://schemas.openxmlformats.org/officeDocument/2006/relationships/hyperlink" Target="https://dalil.kg/document/97830#p15" TargetMode="External"/><Relationship Id="rIdwfz7kygvmtzt2shmukc14" Type="http://schemas.openxmlformats.org/officeDocument/2006/relationships/hyperlink" Target="https://dalil.kg/document/97830#p16" TargetMode="External"/><Relationship Id="rId_jppra10gls45ck369c8h" Type="http://schemas.openxmlformats.org/officeDocument/2006/relationships/hyperlink" Target="https://dalil.kg/document/97830#p17" TargetMode="External"/><Relationship Id="rIdjmvpbummsqpd2tkzk3yx3" Type="http://schemas.openxmlformats.org/officeDocument/2006/relationships/hyperlink" Target="https://dalil.kg/document/97830#p18" TargetMode="External"/><Relationship Id="rIdtq-1eyzypiwgqinw4w32e" Type="http://schemas.openxmlformats.org/officeDocument/2006/relationships/hyperlink" Target="https://dalil.kg/document/97830#p19" TargetMode="External"/><Relationship Id="rIdt_z-jriez8nvqu_o88y-2" Type="http://schemas.openxmlformats.org/officeDocument/2006/relationships/hyperlink" Target="https://dalil.kg/document/97830#p20" TargetMode="External"/><Relationship Id="rIdoadoycwpemonsuictvg3u" Type="http://schemas.openxmlformats.org/officeDocument/2006/relationships/hyperlink" Target="https://dalil.kg/document/97830#p21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20qkchdw_ie2t_hak0a" Type="http://schemas.openxmlformats.org/officeDocument/2006/relationships/hyperlink" Target="https://dalil.kg/document/97830" TargetMode="External"/><Relationship Id="rId39ni8b-vx28dscwfpk4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2026-09-27T09:10:42.107Z</dcterms:created>
  <dcterms:modified xsi:type="dcterms:W3CDTF">2026-09-27T09:10:42.107Z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