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ИМЕНЕМ КЫРГЫЗСКОЙ РЕСПУБЛИКИ
 РЕШЕНИЕ КОНСТИТУЦИОННОЙ ПАЛАТЫ ВЕРХОВНОГО СУДА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от 14 октября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3 </w:t>
      </w:r>
      <w:hyperlink w:history="1" r:id="rId8xr-dhfu5limaarv1qa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men9kikhzsvk5as_ub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чипе, в связи с обращением Бекназарова Азимбека Анаркуловича, Медетбекова Шамшыбека Осмонкуловича и Касаболотова Жыргалбека Асековича.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Дуйшеева К.А., судей Бобукеевой М.Р., Жумабаева Л.П., Касымалиева М.Ш., Кыдырбаева К.Дж., Осконбаева Э.Ж., Саалаева Ж.И., Шаршеналиева Ж.А. при секретаре Джолгокпаевой С.А.,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Медетбекова Шамшыбека Осмонкуловича;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ответчика - Таманбаева Рысбека Кокумбаевича, представителя Правительства Кыргызской Республики по доверенности,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</w:t>
      </w:r>
      <w:hyperlink w:history="1" r:id="rId7eo4-51ewqxjllzc5c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pa7gbg3eh5pdkmy-dd_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jlwj0tpk-dia19r-h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e4xvw8fd_kylwspay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vq6v5fyepssktguc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и 42 конституционного Закона "О Конституционной палате Верховного суда Кыргызской Республики", рассмотрела в открытом судебном заседании дело о проверке конституционности пункта 3 </w:t>
      </w:r>
      <w:hyperlink w:history="1" r:id="rId-o04mjgbo_hadopx6o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oxyfefapkjwgv1kfil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чипе, в связи с обращением Бекназарова Азимбека Анаркуловича, Медетбекова Шамшыбека Осмонкуловича и Касаболотова Жыргалбека Асековича.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Бекназарова А.А., Медетбекова Ш.О. и Касаболотова Ж.А.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</w:t>
      </w:r>
      <w:hyperlink w:history="1" r:id="rIddpvlvpw_fbd3sothb8y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пункт 3 </w:t>
      </w:r>
      <w:hyperlink w:history="1" r:id="rIdhxb2_rovfqt2ei-a2oc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5d_bcxm9-uyez0uoph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Бобукеевой М.Р.,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26 февраля 2019 года поступило ходатайство Бекназарова А.А., Медетбекова Ш.О. и Касаболотова Ж.А. о признании пункта 3 </w:t>
      </w:r>
      <w:hyperlink w:history="1" r:id="rId2clkx84dxmntttblbu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j0q9o6aigc8ztykjy31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чипе, противоречащей части 3 </w:t>
      </w:r>
      <w:hyperlink w:history="1" r:id="rIdrtjl_aqmh8f3tdo_ofa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2, пункту 6 части 5 </w:t>
      </w:r>
      <w:hyperlink w:history="1" r:id="rId3cyuiu6yzcozdfj9yq3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unskfichrjln27jc4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субъекта обращения, утвержденный обозначенным постановлением установлено, что отдельная графа, описывающая этническую принадлежность (национальность) гражданина в паспортах образца 1994 года и 2004 года предыдущего Положения об идентификационной карте - паспорте гражданина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в котором сведение об этнической принадлежности не указывается открыто и содержание информации "этническая принадлежность на электронном чипе указывается по желанию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отмечают, что в соответствии с пунктом 6 части 5 </w:t>
      </w:r>
      <w:hyperlink w:history="1" r:id="rIdwa70xu6scmnj_zg2ln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taaj4ktt7rk3hkkos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человек и гражданин пользуясь конституционным правом свободно определять и указывать свою этническую принадлежность, граждане Кыргызской Республики до 3 апреля 2017 года через графу "национальность" в своем паспорте открыто указывали свою этническую принадлежность. Исключение графы, указывающей национальность гражданина в новом паспорте образца 2017 года Правительства Кыргызской Республики является не только нарушением прав человека и гражданина, но и проводимой политикой против нации кыргызов.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заявители просят признать оспариваемую норму противоречащей части 3 </w:t>
      </w:r>
      <w:hyperlink w:history="1" r:id="rIdw_pdm0j0isclqdqtrj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2, пункту 6 части 5 </w:t>
      </w:r>
      <w:hyperlink w:history="1" r:id="rId6rksjgueoo9zs1fncp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jr5otdm-wrdm0ge0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от 10 апреля 2019 года Конституционной палаты Верховного суда Кыргызской Республики данное обращение принято к производству о проверке соответствия пункту 6 части 5 </w:t>
      </w:r>
      <w:hyperlink w:history="1" r:id="rIddsd4r3vh-yrtsmhw2u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ec2xazr79q_oqrh9w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остальной части было отказано.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Таманбаев Р.К. не согласный с доводами обращающейся стороны озвучил следующее противное мнение.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- паспорт гражданина Кыргызской Республики образца 2017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 Электронный чип идентификационной карты содержит сведения о гражданине, где указывается фамилия, имя, отчество (при наличии), пол, гражданство, дата рождения, срок действия документа, место рождения, персональный идентификационный номер, орган, выдавший документ, и его код, цветное цифровое изображение лица владельца, графическое строение папиллярных узоров пальцев обеих рук, собственноручная подпись владельца, этническая принадлежность (по желанию заявителя), адрес (место жительства), семейное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Таманбаев Р.К. указал, что в пункте 3 указанного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в текстовом виде идентификационной карты сведение об этнической принадлежности не указывается открыто и содержание информации этническая принадлежность по желанию заявителя вносится на электронном чипе.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ответчика, понятие "этническая принадлежность", указанная в </w:t>
      </w:r>
      <w:hyperlink w:history="1" r:id="rIdljhnbr6e6sextajzik6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 вышеуказанном положении указываемое понятие "этническая принадлежность" приравнена к понятию "национальность". В части 4 </w:t>
      </w:r>
      <w:r>
        <w:rPr>
          <w:rFonts w:ascii="Arial" w:cs="Arial" w:eastAsia="Arial" w:hAnsi="Arial"/>
          <w:sz w:val="24"/>
          <w:szCs w:val="24"/>
        </w:rPr>
        <w:t xml:space="preserve">статьи 31 </w:t>
      </w:r>
      <w:r>
        <w:rPr>
          <w:rFonts w:ascii="Arial" w:cs="Arial" w:eastAsia="Arial" w:hAnsi="Arial"/>
          <w:sz w:val="24"/>
          <w:szCs w:val="24"/>
        </w:rPr>
        <w:t xml:space="preserve">эти понятия разделены как "национальный" и "этнический". Также в других законах при указании своей принадлежности гражданина Кыргызской Республики к той или иной нации используется понятие "национальность". Кроме этого, в государственных документах многих стран, в том числе и в паспортах сведения об этнической принадлежности указывается как "национальность".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Таманбаев Р.К. считает, что в отдельных кодексах и законах применяемых Государственной регистрационной службой используют понятие "национальность", в законодательстве Кыргызской Республики понятиям "национальность" и "этническая принадлежность" дано официальное определение, эти понятия должны использоваться в едином значении.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сторона-ответчик считает доводы заявителей по оспариваемому вопросу не обоснованными, а оспариваемая норма не противоречащей пункту 6 части 5 </w:t>
      </w:r>
      <w:hyperlink w:history="1" r:id="rIdq1xi0q1a5bctawl-lqp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rpy4gdufyqjt3gjsiy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иных лиц и исследовав материалы дела, пришла к следующим выводам.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</w:t>
      </w:r>
      <w:hyperlink w:history="1" r:id="rIdxwil0-2t83qrh3lliv5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пункта 3 </w:t>
      </w:r>
      <w:hyperlink w:history="1" r:id="rIde9lhmmykpikxjjzlsi-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dery-irsbiql0dldamk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Идентификационная карта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текстовом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черно-белое изображение лица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штрих-коды персонального идентификационного номера и номера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машиносчитываемом виде - машиносчитываемая 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электронном чипе: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цветное цифровое изображение лица владельца, графическое строение папиллярных узоров пальцев обеих рук, собственноручная подпись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(по желанию заявителя);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(место жительства);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 электронно-цифровой подписи, реализованный на базе криптографических алгоритмов по стандартам ГОСТ, ключ авторизации.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также может иметь тактильный текст шрифтом Брайля для лиц с нарушениями зрения (по желанию владельца).".</w:t>
      </w:r>
    </w:p>
    <w:p>
      <w:pPr>
        <w:spacing w:after="60"/>
        <w:ind w:firstLine="567"/>
        <w:jc w:val="both"/>
      </w:pPr>
      <w:hyperlink w:history="1" r:id="rIdkyhibll0kxmps-0_ui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 было принято в соответствии с порядком, установленным законодательством, опубликован в газете "Эркин-Тоо" от 28 апреля 2017 года № (532-533) в приложении "Нормативные акты Правительства Кыргызской Республики",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Декларация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 Кыргызстан от 15 декабря 1990 года провозгласила, что граждане республики всех национальностей составляют народ Республики Кыргызстан, который является единственным источником государственной власти в республике (</w:t>
      </w: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логическим продолжением волеизъявления народа, </w:t>
      </w:r>
      <w:hyperlink w:history="1" r:id="rIdm_fbiko_c6lo8k12vb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своей преамбуле установила исходные принципы, на которых основываются все последующие конституционные установления, особо обозначив значимость единства народа в укреплении кыргызской государственности и государственного суверенитета.</w:t>
      </w:r>
    </w:p>
    <w:p>
      <w:pPr>
        <w:spacing w:after="60"/>
        <w:ind w:firstLine="567"/>
        <w:jc w:val="both"/>
      </w:pPr>
      <w:hyperlink w:history="1" r:id="rIdlz4dyzvp-7m3xmqqeib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провозглашает, что народ Кыргызстана является носителем суверенитета и единственным источником государственной власти в Кыргызской Республике, где понятие "народ" определяется как принадлежность совокупности людей всех этносов к кыргызскому государству (</w:t>
      </w: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осознание гражданами страны своей принадлежности к единому государству не исключает право каждого на социальную идентичность.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идентичность - это восприятие себя как члена определенной группы, ощущение принадлежности и эмоциональной привязанности к ней. Одной из разновидностей социальной идентичности индивида является этническая принадлежность, то есть осознание человеком себя как представителя определенного этноса.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задается вместе с рождением, умением говорить на родном языке, культурным окружением и другими явлениями ввиду чего индивиду становится свойственным сопровождающие этничности признаки такие, как язык, имя, представление об общем происхождении, привязанность к определенной территории, религии, общей системе ценностей, групповой солидарности, на основе которых посторонние легко атрибутируют индивида.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является общепринятым и легитимированным индикатором различий и выступает мощным фактором формирования и сплочения этнических групп и их социальных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Ценность этнической идентичности заключается в том, что она призвана удовлетворить как потребность в самобытности и независимости от других, так и потребность в принадлежности к определенной группе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государства в этих условиях заключается в формировании в обществе уважительного отношения к самобытной культуре, родному языку, своеобразию обычаев и традиций людей любой этнической общности, а также в искоренении этнических предрассудков, создании условий для самоопределения и самореализации индивида в вопросе этнической принадлежности, обеспечения автономии и независимости его воли.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Вместе с тем, ни при каких обстоятельствах этническая принадлежность не может служить основанием как для предоставления лицу каких-либо привилегий, так и для ограничения его прав, ибо Конституция Кыргызской Республики устанавливает безусловное равенство прав и свобод человека и гражданина независимо, помимо прочего, от факта этнической принадлежности. Данная гарантия обеспечивается предусмотренной законодательством ответственностью за нарушение принципа равноправия в зависимости от пола, расы, национальности,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 (статья 185 Уголовного кодекса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со статьей 38 Конституции Кыргызской Республики каждый имеет право свободно определять и указывать свою этническую принадлежность. Иначе говоря, каждому предоставлено право по своему усмотрению, во-первых, определять, во-вторых указывать в документе, касающемся данного человека, свою этническую принадлежность, либо вовсе отказаться от ее указания.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своему смыслу и содержанию конституционное положение о праве свободно определять свою этническую принадлежность означает сознательный акт самоопределения человека, отнесения самого себя к определенной этнической общности, а также возможность выбора собственной культурной идентичности и право удовлетворять интересы и запросы, связанные с этнической принадлежностью.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таким дозволением как "свободно указывать" </w:t>
      </w:r>
      <w:hyperlink w:history="1" r:id="rIdxy-ru5o61od0z88beb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усматривает необходимость предоставления каждому, как форму самовыражения личности, право придавать гласности, свободно выражать и распространять информацию о своей этнической принадлежности в любых общедоступных источниках, в том числе официальных документах, касающихся конкретного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конституционно-правовой смысл предоставляемого права заключается не только в возможности человека определять или не определять, указывать или не указывать свою этническую принадлежность для различного рода юридически значимых целей, но и вовсе отказаться от определения и указания своей этнической принадлежности, или же придать ей форму ограниченного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</w:t>
      </w:r>
      <w:hyperlink w:history="1" r:id="rIdqsegkwcvozogwb43vg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устанавливает принципиальную недопустимость принуждения к определению и указанию человеком своей этнической принадлежности. В целом данная статья в императивном порядке ставит в зависимость официальное фиксирование сведений об этнической принадлежности индивида в каких-либо документах, выдаваемых в целях его идентификации, от его воли.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целях неукоснительного обеспечения соблюдения запрета на принуждение к определению и указанию человеком своей этнической принадлежности </w:t>
      </w:r>
      <w:hyperlink w:history="1" r:id="rIdzq-mi00itbagoafesyd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отнесла ее к абсолютным и не подлежащим каким-либо изменениям (пункт 9 части 4 </w:t>
      </w:r>
      <w:r>
        <w:rPr>
          <w:rFonts w:ascii="Arial" w:cs="Arial" w:eastAsia="Arial" w:hAnsi="Arial"/>
          <w:sz w:val="24"/>
          <w:szCs w:val="24"/>
        </w:rPr>
        <w:t xml:space="preserve">статьи 20, второе предложение статьи 38</w:t>
      </w:r>
      <w:r>
        <w:rPr>
          <w:rFonts w:ascii="Arial" w:cs="Arial" w:eastAsia="Arial" w:hAnsi="Arial"/>
          <w:sz w:val="24"/>
          <w:szCs w:val="24"/>
        </w:rPr>
        <w:t xml:space="preserve">). Это означает, что свобода выбора своей этнической принадлежности, придания ее гласности, является исключительной привилегией каждого человека и государство не может принуждать его к такому выбору или же оказывать на него какое-либо иное воздействие.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пунктом 6 </w:t>
      </w:r>
      <w:hyperlink w:history="1" r:id="rIdj1d90v9a5e4uore3e9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утвержденного </w:t>
      </w:r>
      <w:hyperlink w:history="1" r:id="rId1hj0pq3kvuppjqx-evx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196 национальные паспорта граждан Кыргызской Республики подразделяются на паспорт гражданина Кыргызской Республики образца 2004 года (ID-карта); идентификационную карту - паспорт гражданина Кыргызской Республики образца 2017 года (ID-карта); общегражданский паспорт гражданина Кыргызской Республики образца 2006 года; дипломатический и служебный паспорта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паспорта граждан Кыргызской Республики являются документами, удостоверяющими личность граждан Кыргызской Республики и подтверждающими принадлежность к гражданству Кыргызской Республики, соответственно, какие сведения должны быть в этом документе определяется, исходя из задач этого документа, автором, то есть государством с соблюдением конституционных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</w:t>
      </w:r>
      <w:hyperlink w:history="1" r:id="rIdb-dyld5qqfldncbf7b6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утвержденного </w:t>
      </w:r>
      <w:hyperlink w:history="1" r:id="rIdje9psika7zp-lprltmx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197, идентификационная карта - паспорт гражданина Кыргызской Республики образца 2017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Оспариваемый обращающейся стороной пункт 3 рассматриваемого </w:t>
      </w:r>
      <w:hyperlink w:history="1" r:id="rIdtrtnstnqxutq4geo-d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 перечень сведений, подлежащих включению в ID-карту. При этом сведения подразделены на две категории: в текстовом виде и на электронном чипе. Сведения, касающиеся этнической принадлежности по желанию заявителя включен в контент электронного чипа.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 - это числовой интегральный процессор (электронная микросхема), встроенный в идентификационную карту - паспорт образца 2017 года, позволяющий производить запись, обработку и хранение персональных и биометрических данных заявителя уполномоченным органом по реализации государственной политики в области регистрации населения и актов гражданского состояния. То есть включение в электронный чип сведений об этнической принадлежности означает использование криптографических технологий в целях ограничения доступа к содержащейся в нем информации, что возможно лишь по воле самого человека, который желает определить свою этническую принадлежность, но указывать ее в закрытом режиме. Другими словами, при желании заявителя о включении сведений о его этнической принадлежности в электронный чип, то есть содержать данную информацию в режиме ограниченного доступа, является одной из форм реализации конституционного права на свободу определения и указания своей этнической принадлежности и не может противоречить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то же время, не предоставление возможности указывать в текстовом виде в ID-карте сведений об этнической принадлежности, если этого желает сам заявитель, означает прямое нарушение права на придание гласности или же распространение иным образом информации о своей этнической принадлежности, в том числе в ID-карте, удостоверяющего личность конкретного человека. То есть нарушает гарантии, предусмотренные </w:t>
      </w:r>
      <w:hyperlink w:history="1" r:id="rIdpcf_nnbatakqys7wub2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 праве каждого свободно определять и указывать свою этническую принадлежность.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процессе приведения оспариваемого акта в соответствие с конституционными требованиями следует иметь в виду, что в силу пункта 9 части 4 </w:t>
      </w:r>
      <w:hyperlink w:history="1" r:id="rId3jpt9wzjdv2f0e6z9q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существующий запрет на любые формы принуждения к определению и указанию этнической принадлежности человека и гражданина не может быть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</w:t>
      </w:r>
      <w:hyperlink w:history="1" r:id="rIdmdrrwslo4teojjuoogo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wh1jfoi9pqxjppw8usd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pqbthozdzjxfycwi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ml28tx4ks9cmgss8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qhtgxtsl54ragp74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zoujkgd444kxrthbr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указание в абзаце втором пункта 3 </w:t>
      </w:r>
      <w:hyperlink w:history="1" r:id="rIdcd-k2gwyjuvc2f0ei7f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"- в текстовом виде:" графы "этническая принадлежность (по желанию заявителя)" в паспорте гражданина Кыргызской Республики образца 2017 года (ID-карта), утвержденного </w:t>
      </w:r>
      <w:hyperlink w:history="1" r:id="rIdaco-ltlux8tznw8f8x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197 "Об идентификационной карте - паспорте гражданина Кыргызской Республики образца 2017 года (ID-карта)", в котором сведение об этнической принадлежности не указывается открыто и содержание информации "этническая принадлежность (по желанию заявителя)" на электронном чипе противоречит </w:t>
      </w:r>
      <w:hyperlink w:history="1" r:id="rIdos9kvbuf4utzubsgp-w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Судьи: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М.Бобукеева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М.Касымалиев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Кыдырбаев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Э.Осконбаев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Ж.Саалаев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Ж.Шаршеналиев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2qaajkrdjrum5y1ji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</w:t>
      </w:r>
    </w:hyperlink>
  </w:p>
  <w:p>
    <w:pPr>
      <w:spacing w:after="0" w:before="40"/>
      <w:jc w:val="center"/>
    </w:pPr>
    <w:hyperlink w:history="1" r:id="rIdvpl0uodjlb4bpudu_es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r-dhfu5limaarv1qax2" Type="http://schemas.openxmlformats.org/officeDocument/2006/relationships/hyperlink" Target="https://dalil.kg/document/99889" TargetMode="External"/><Relationship Id="rIdmen9kikhzsvk5as_ubkne" Type="http://schemas.openxmlformats.org/officeDocument/2006/relationships/hyperlink" Target="https://dalil.kg/document/99888" TargetMode="External"/><Relationship Id="rId7eo4-51ewqxjllzc5cgfr" Type="http://schemas.openxmlformats.org/officeDocument/2006/relationships/hyperlink" Target="https://dalil.kg/document/202913#st_97" TargetMode="External"/><Relationship Id="rIdpa7gbg3eh5pdkmy-dd_fu" Type="http://schemas.openxmlformats.org/officeDocument/2006/relationships/hyperlink" Target="https://dalil.kg/document/203281#st_2" TargetMode="External"/><Relationship Id="rIdnqjlwj0tpk-dia19r-hx4" Type="http://schemas.openxmlformats.org/officeDocument/2006/relationships/hyperlink" Target="https://dalil.kg/document/203281#st_18" TargetMode="External"/><Relationship Id="rIdd6e4xvw8fd_kylwspay0t" Type="http://schemas.openxmlformats.org/officeDocument/2006/relationships/hyperlink" Target="https://dalil.kg/document/203281#st_19" TargetMode="External"/><Relationship Id="rIdnrvq6v5fyepssktgucfpj" Type="http://schemas.openxmlformats.org/officeDocument/2006/relationships/hyperlink" Target="https://dalil.kg/document/203281#st_37" TargetMode="External"/><Relationship Id="rId-o04mjgbo_hadopx6ozfz" Type="http://schemas.openxmlformats.org/officeDocument/2006/relationships/hyperlink" Target="https://dalil.kg/document/99889" TargetMode="External"/><Relationship Id="rIdoxyfefapkjwgv1kfill5g" Type="http://schemas.openxmlformats.org/officeDocument/2006/relationships/hyperlink" Target="https://dalil.kg/document/99888" TargetMode="External"/><Relationship Id="rIddpvlvpw_fbd3sothb8yji" Type="http://schemas.openxmlformats.org/officeDocument/2006/relationships/hyperlink" Target="https://dalil.kg/document/202913" TargetMode="External"/><Relationship Id="rIdhxb2_rovfqt2ei-a2ocrn" Type="http://schemas.openxmlformats.org/officeDocument/2006/relationships/hyperlink" Target="https://dalil.kg/document/99889" TargetMode="External"/><Relationship Id="rId5d_bcxm9-uyez0uophpla" Type="http://schemas.openxmlformats.org/officeDocument/2006/relationships/hyperlink" Target="https://dalil.kg/document/99888" TargetMode="External"/><Relationship Id="rId2clkx84dxmntttblbuvny" Type="http://schemas.openxmlformats.org/officeDocument/2006/relationships/hyperlink" Target="https://dalil.kg/document/99889" TargetMode="External"/><Relationship Id="rIdj0q9o6aigc8ztykjy31om" Type="http://schemas.openxmlformats.org/officeDocument/2006/relationships/hyperlink" Target="https://dalil.kg/document/99888" TargetMode="External"/><Relationship Id="rIdrtjl_aqmh8f3tdo_ofanz" Type="http://schemas.openxmlformats.org/officeDocument/2006/relationships/hyperlink" Target="https://dalil.kg/document/202913#st_5" TargetMode="External"/><Relationship Id="rId3cyuiu6yzcozdfj9yq3r3" Type="http://schemas.openxmlformats.org/officeDocument/2006/relationships/hyperlink" Target="https://dalil.kg/document/202913#st_20" TargetMode="External"/><Relationship Id="rIdtiunskfichrjln27jc4dx" Type="http://schemas.openxmlformats.org/officeDocument/2006/relationships/hyperlink" Target="https://dalil.kg/document/202913#st_38" TargetMode="External"/><Relationship Id="rIdwa70xu6scmnj_zg2lnhnt" Type="http://schemas.openxmlformats.org/officeDocument/2006/relationships/hyperlink" Target="https://dalil.kg/document/202913#st_20" TargetMode="External"/><Relationship Id="rIdgtaaj4ktt7rk3hkkosxei" Type="http://schemas.openxmlformats.org/officeDocument/2006/relationships/hyperlink" Target="https://dalil.kg/document/202913#st_38" TargetMode="External"/><Relationship Id="rIdw_pdm0j0isclqdqtrjrjn" Type="http://schemas.openxmlformats.org/officeDocument/2006/relationships/hyperlink" Target="https://dalil.kg/document/202913#st_5" TargetMode="External"/><Relationship Id="rId6rksjgueoo9zs1fncpvgl" Type="http://schemas.openxmlformats.org/officeDocument/2006/relationships/hyperlink" Target="https://dalil.kg/document/202913#st_20" TargetMode="External"/><Relationship Id="rIdlrjr5otdm-wrdm0ge0eyp" Type="http://schemas.openxmlformats.org/officeDocument/2006/relationships/hyperlink" Target="https://dalil.kg/document/202913#st_38" TargetMode="External"/><Relationship Id="rIddsd4r3vh-yrtsmhw2uluf" Type="http://schemas.openxmlformats.org/officeDocument/2006/relationships/hyperlink" Target="https://dalil.kg/document/202913#st_20" TargetMode="External"/><Relationship Id="rIdmaec2xazr79q_oqrh9w_-" Type="http://schemas.openxmlformats.org/officeDocument/2006/relationships/hyperlink" Target="https://dalil.kg/document/202913#st_38" TargetMode="External"/><Relationship Id="rIdljhnbr6e6sextajzik65j" Type="http://schemas.openxmlformats.org/officeDocument/2006/relationships/hyperlink" Target="https://dalil.kg/document/202913#st_38" TargetMode="External"/><Relationship Id="rIdq1xi0q1a5bctawl-lqp3e" Type="http://schemas.openxmlformats.org/officeDocument/2006/relationships/hyperlink" Target="https://dalil.kg/document/202913#st_20" TargetMode="External"/><Relationship Id="rIdgrpy4gdufyqjt3gjsiy4g" Type="http://schemas.openxmlformats.org/officeDocument/2006/relationships/hyperlink" Target="https://dalil.kg/document/202913#st_38" TargetMode="External"/><Relationship Id="rIdxwil0-2t83qrh3lliv5gg" Type="http://schemas.openxmlformats.org/officeDocument/2006/relationships/hyperlink" Target="https://dalil.kg/document/203281#st_19" TargetMode="External"/><Relationship Id="rIde9lhmmykpikxjjzlsi-0v" Type="http://schemas.openxmlformats.org/officeDocument/2006/relationships/hyperlink" Target="https://dalil.kg/document/99889" TargetMode="External"/><Relationship Id="rIddery-irsbiql0dldamkqs" Type="http://schemas.openxmlformats.org/officeDocument/2006/relationships/hyperlink" Target="https://dalil.kg/document/99888" TargetMode="External"/><Relationship Id="rIdkyhibll0kxmps-0_uiduh" Type="http://schemas.openxmlformats.org/officeDocument/2006/relationships/hyperlink" Target="https://dalil.kg/document/99888" TargetMode="External"/><Relationship Id="rIdm_fbiko_c6lo8k12vbrth" Type="http://schemas.openxmlformats.org/officeDocument/2006/relationships/hyperlink" Target="https://dalil.kg/document/202913" TargetMode="External"/><Relationship Id="rIdlz4dyzvp-7m3xmqqeib1_" Type="http://schemas.openxmlformats.org/officeDocument/2006/relationships/hyperlink" Target="https://dalil.kg/document/202913" TargetMode="External"/><Relationship Id="rIdxy-ru5o61od0z88bebvap" Type="http://schemas.openxmlformats.org/officeDocument/2006/relationships/hyperlink" Target="https://dalil.kg/document/202913" TargetMode="External"/><Relationship Id="rIdqsegkwcvozogwb43vgqwd" Type="http://schemas.openxmlformats.org/officeDocument/2006/relationships/hyperlink" Target="https://dalil.kg/document/202913#st_38" TargetMode="External"/><Relationship Id="rIdzq-mi00itbagoafesydq5" Type="http://schemas.openxmlformats.org/officeDocument/2006/relationships/hyperlink" Target="https://dalil.kg/document/202913" TargetMode="External"/><Relationship Id="rIdj1d90v9a5e4uore3e9wtn" Type="http://schemas.openxmlformats.org/officeDocument/2006/relationships/hyperlink" Target="https://dalil.kg/document/99889" TargetMode="External"/><Relationship Id="rId1hj0pq3kvuppjqx-evx3r" Type="http://schemas.openxmlformats.org/officeDocument/2006/relationships/hyperlink" Target="https://dalil.kg/document/99888" TargetMode="External"/><Relationship Id="rIdb-dyld5qqfldncbf7b65z" Type="http://schemas.openxmlformats.org/officeDocument/2006/relationships/hyperlink" Target="https://dalil.kg/document/99889" TargetMode="External"/><Relationship Id="rIdje9psika7zp-lprltmx7c" Type="http://schemas.openxmlformats.org/officeDocument/2006/relationships/hyperlink" Target="https://dalil.kg/document/99888" TargetMode="External"/><Relationship Id="rIdtrtnstnqxutq4geo-d6ks" Type="http://schemas.openxmlformats.org/officeDocument/2006/relationships/hyperlink" Target="https://dalil.kg/document/99889" TargetMode="External"/><Relationship Id="rIdpcf_nnbatakqys7wub2kw" Type="http://schemas.openxmlformats.org/officeDocument/2006/relationships/hyperlink" Target="https://dalil.kg/document/202913#st_38" TargetMode="External"/><Relationship Id="rId3jpt9wzjdv2f0e6z9qkac" Type="http://schemas.openxmlformats.org/officeDocument/2006/relationships/hyperlink" Target="https://dalil.kg/document/202913#st_20" TargetMode="External"/><Relationship Id="rIdmdrrwslo4teojjuoogoe5" Type="http://schemas.openxmlformats.org/officeDocument/2006/relationships/hyperlink" Target="https://dalil.kg/document/202913#st_97" TargetMode="External"/><Relationship Id="rIdwh1jfoi9pqxjppw8usdjn" Type="http://schemas.openxmlformats.org/officeDocument/2006/relationships/hyperlink" Target="https://dalil.kg/document/203281#st_46" TargetMode="External"/><Relationship Id="rId_rpqbthozdzjxfycwiigl" Type="http://schemas.openxmlformats.org/officeDocument/2006/relationships/hyperlink" Target="https://dalil.kg/document/203281#st_47" TargetMode="External"/><Relationship Id="rId6vml28tx4ks9cmgss8dgm" Type="http://schemas.openxmlformats.org/officeDocument/2006/relationships/hyperlink" Target="https://dalil.kg/document/203281#st_48" TargetMode="External"/><Relationship Id="rIdqfqhtgxtsl54ragp74tey" Type="http://schemas.openxmlformats.org/officeDocument/2006/relationships/hyperlink" Target="https://dalil.kg/document/203281#st_51" TargetMode="External"/><Relationship Id="rIdqzoujkgd444kxrthbrzyg" Type="http://schemas.openxmlformats.org/officeDocument/2006/relationships/hyperlink" Target="https://dalil.kg/document/203281#st_52" TargetMode="External"/><Relationship Id="rIdcd-k2gwyjuvc2f0ei7f5y" Type="http://schemas.openxmlformats.org/officeDocument/2006/relationships/hyperlink" Target="https://dalil.kg/document/99889" TargetMode="External"/><Relationship Id="rIdaco-ltlux8tznw8f8xvbk" Type="http://schemas.openxmlformats.org/officeDocument/2006/relationships/hyperlink" Target="https://dalil.kg/document/99888" TargetMode="External"/><Relationship Id="rIdos9kvbuf4utzubsgp-wcw" Type="http://schemas.openxmlformats.org/officeDocument/2006/relationships/hyperlink" Target="https://dalil.kg/document/202913#st_38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2qaajkrdjrum5y1jitb" Type="http://schemas.openxmlformats.org/officeDocument/2006/relationships/hyperlink" Target="https://dalil.kg/document/9784" TargetMode="External"/><Relationship Id="rIdvpl0uodjlb4bpudu_es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2026-10-01T17:53:34.122Z</dcterms:created>
  <dcterms:modified xsi:type="dcterms:W3CDTF">2026-10-01T17:53:34.122Z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