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ugiwzvc7eok7vljnsgoz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августа 2015 года № 600</w:t>
      </w:r>
    </w:p>
    <w:p>
      <w:pPr>
        <w:spacing w:after="120"/>
        <w:jc w:val="both"/>
      </w:pPr>
      <w:r>
        <w:rPr>
          <w:rFonts w:ascii="Arial" w:cs="Arial" w:eastAsia="Arial" w:hAnsi="Arial"/>
          <w:sz w:val="24"/>
          <w:szCs w:val="24"/>
        </w:rPr>
        <w:t xml:space="preserve">Об утверждении Основных направлений создания и развития системы торгово-логистических центров сельскохозяйственной продукции в Кыргызской Республике на 2015-2017 годы</w:t>
      </w:r>
    </w:p>
    <w:p>
      <w:pPr>
        <w:spacing w:after="120"/>
        <w:jc w:val="both"/>
      </w:pPr>
      <w:r>
        <w:rPr>
          <w:rFonts w:ascii="Arial" w:cs="Arial" w:eastAsia="Arial" w:hAnsi="Arial"/>
          <w:sz w:val="24"/>
          <w:szCs w:val="24"/>
        </w:rPr>
        <w:t xml:space="preserve">В целях развития рынка сельскохозяйственной продукции и увеличения экспортного потенциала, во исполнение </w:t>
      </w:r>
      <w:hyperlink w:history="1" r:id="rId85cao284vl2wzltzxabig">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3vjyuxqh-o-qxmupmnze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в соответствии со статьями 10 и 17 </w:t>
      </w:r>
      <w:hyperlink w:history="1" r:id="rIdlm16mkz6dyklukng2ggi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Основные направления создания и развития системы торгово-логистических центров сельскохозяйственной продукции в Кыргызской Республике на 2015-2017 годы (далее - Основные направления) согласно </w:t>
      </w:r>
      <w:hyperlink w:history="1" r:id="rIdxm-w0xmpk1sqbkqh4g6f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сельского хозяйства и мелиорации Кыргызской Республики:</w:t>
      </w:r>
    </w:p>
    <w:p>
      <w:pPr>
        <w:spacing w:after="120"/>
        <w:jc w:val="both"/>
      </w:pPr>
      <w:r>
        <w:rPr>
          <w:rFonts w:ascii="Arial" w:cs="Arial" w:eastAsia="Arial" w:hAnsi="Arial"/>
          <w:sz w:val="24"/>
          <w:szCs w:val="24"/>
        </w:rPr>
        <w:t xml:space="preserve">- в двухмесячный срок совместно с полномочными представителями Правительства Кыргызской Республики в областях, Государственной таможенной службой при Правительстве Кыргызской Республики, другими государственными органами разработать и внести на утверждение в Правительство Кыргызской Республики план мероприятий по реализации Основных направлений;</w:t>
      </w:r>
    </w:p>
    <w:p>
      <w:pPr>
        <w:spacing w:after="120"/>
        <w:jc w:val="both"/>
      </w:pPr>
      <w:r>
        <w:rPr>
          <w:rFonts w:ascii="Arial" w:cs="Arial" w:eastAsia="Arial" w:hAnsi="Arial"/>
          <w:sz w:val="24"/>
          <w:szCs w:val="24"/>
        </w:rPr>
        <w:t xml:space="preserve">- рассмотреть возможность привлечения международных организаций и бизнес-структур на основе государственно-частного партнерства для участия в создании торгово-логистических центров сельскохозяйственной продукции в регионах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ОСНОВНЫЕ НАПРАВЛЕНИЯ
 создания и развития системы торгово-логистических центров сельскохозяйственной продукции в Кыргызской Республике на 2015-2017годы</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Сельское хозяйство - это отрасль экономики, обеспечивающая продовольственную безопасность страны и неразрывно связанная с региональным развитием. В этой связи, рост сельскохозяйственного производства, повышение его эффективности, улучшение качества продукции, создание соответствующей системы переработки, хранения и реализации продукции являются приоритетами отрасли.</w:t>
      </w:r>
    </w:p>
    <w:p>
      <w:pPr>
        <w:spacing w:after="120"/>
        <w:jc w:val="both"/>
      </w:pPr>
      <w:r>
        <w:rPr>
          <w:rFonts w:ascii="Arial" w:cs="Arial" w:eastAsia="Arial" w:hAnsi="Arial"/>
          <w:sz w:val="24"/>
          <w:szCs w:val="24"/>
        </w:rPr>
        <w:t xml:space="preserve">В 2014 году доля аграрной отрасли в валовом внутреннем продукте Кыргызской Республики составляла 14,8%, численность занятых в сельскохозяйственном производстве - 32%, индекс физического объема продукции сельского хозяйства за 2009-2014 годы вырос на 12%.</w:t>
      </w:r>
    </w:p>
    <w:p>
      <w:pPr>
        <w:spacing w:after="120"/>
        <w:jc w:val="both"/>
      </w:pPr>
      <w:r>
        <w:rPr>
          <w:rFonts w:ascii="Arial" w:cs="Arial" w:eastAsia="Arial" w:hAnsi="Arial"/>
          <w:sz w:val="24"/>
          <w:szCs w:val="24"/>
        </w:rPr>
        <w:t xml:space="preserve">Настоящие Основные направления определяют концепцию создания и развития торгово-логистических центров сельскохозяйственной продукции в Кыргызской Республике на 2015-2017 годы для обеспечения продовольственной безопасности, роста доходов сельского населения от экспорта сельскохозяйственной продукции, организации конкурентоспособного агропромышленного сектора с передовыми технологиями, отвечающего международным стандартам.</w:t>
      </w:r>
    </w:p>
    <w:p>
      <w:pPr>
        <w:spacing w:after="120"/>
        <w:jc w:val="both"/>
      </w:pPr>
      <w:r>
        <w:rPr>
          <w:rFonts w:ascii="Arial" w:cs="Arial" w:eastAsia="Arial" w:hAnsi="Arial"/>
          <w:sz w:val="24"/>
          <w:szCs w:val="24"/>
        </w:rPr>
        <w:t xml:space="preserve">1. Основные понятия и термины</w:t>
      </w:r>
    </w:p>
    <w:p>
      <w:pPr>
        <w:spacing w:after="120"/>
        <w:jc w:val="both"/>
      </w:pPr>
      <w:r>
        <w:rPr>
          <w:rFonts w:ascii="Arial" w:cs="Arial" w:eastAsia="Arial" w:hAnsi="Arial"/>
          <w:b/>
          <w:bCs/>
          <w:sz w:val="24"/>
          <w:szCs w:val="24"/>
        </w:rPr>
        <w:t xml:space="preserve">"Индекс физического объема продукции"</w:t>
      </w:r>
      <w:r>
        <w:rPr>
          <w:rFonts w:ascii="Arial" w:cs="Arial" w:eastAsia="Arial" w:hAnsi="Arial"/>
          <w:sz w:val="24"/>
          <w:szCs w:val="24"/>
        </w:rPr>
        <w:t xml:space="preserve"> - относительный показатель, характеризующий изменение объема продукции в сравниваемых периодах.</w:t>
      </w:r>
    </w:p>
    <w:p>
      <w:pPr>
        <w:spacing w:after="120"/>
        <w:jc w:val="both"/>
      </w:pPr>
      <w:r>
        <w:rPr>
          <w:rFonts w:ascii="Arial" w:cs="Arial" w:eastAsia="Arial" w:hAnsi="Arial"/>
          <w:b/>
          <w:bCs/>
          <w:sz w:val="24"/>
          <w:szCs w:val="24"/>
        </w:rPr>
        <w:t xml:space="preserve">"Агропромышленный кластер"</w:t>
      </w:r>
      <w:r>
        <w:rPr>
          <w:rFonts w:ascii="Arial" w:cs="Arial" w:eastAsia="Arial" w:hAnsi="Arial"/>
          <w:sz w:val="24"/>
          <w:szCs w:val="24"/>
        </w:rPr>
        <w:t xml:space="preserve"> - группа географически соседствующих взаимосвязанных компаний (поставщики, производители и др.) и связанных с ними организаций (образовательные заведения, органы государственного управления, инфраструктурные компании), действующих в сфере агропромышленного производства и взаимодополняющих друг друга.</w:t>
      </w:r>
    </w:p>
    <w:p>
      <w:pPr>
        <w:spacing w:after="120"/>
        <w:jc w:val="both"/>
      </w:pPr>
      <w:r>
        <w:rPr>
          <w:rFonts w:ascii="Arial" w:cs="Arial" w:eastAsia="Arial" w:hAnsi="Arial"/>
          <w:b/>
          <w:bCs/>
          <w:sz w:val="24"/>
          <w:szCs w:val="24"/>
        </w:rPr>
        <w:t xml:space="preserve">"Кластерная технология"</w:t>
      </w:r>
      <w:r>
        <w:rPr>
          <w:rFonts w:ascii="Arial" w:cs="Arial" w:eastAsia="Arial" w:hAnsi="Arial"/>
          <w:sz w:val="24"/>
          <w:szCs w:val="24"/>
        </w:rPr>
        <w:t xml:space="preserve"> - технология, разработанная для экономически эффективного производства сельскохозяйственной продукции.</w:t>
      </w:r>
    </w:p>
    <w:p>
      <w:pPr>
        <w:spacing w:after="120"/>
        <w:jc w:val="both"/>
      </w:pPr>
      <w:r>
        <w:rPr>
          <w:rFonts w:ascii="Arial" w:cs="Arial" w:eastAsia="Arial" w:hAnsi="Arial"/>
          <w:b/>
          <w:bCs/>
          <w:sz w:val="24"/>
          <w:szCs w:val="24"/>
        </w:rPr>
        <w:t xml:space="preserve">"Диспаритет цен"</w:t>
      </w:r>
      <w:r>
        <w:rPr>
          <w:rFonts w:ascii="Arial" w:cs="Arial" w:eastAsia="Arial" w:hAnsi="Arial"/>
          <w:sz w:val="24"/>
          <w:szCs w:val="24"/>
        </w:rPr>
        <w:t xml:space="preserve"> - нарушение принципа, эквивалентности в ценообразовании, а также равной выгоды в финансовых, экономических взаимоотношениях.</w:t>
      </w:r>
    </w:p>
    <w:p>
      <w:pPr>
        <w:spacing w:after="120"/>
        <w:jc w:val="both"/>
      </w:pPr>
      <w:r>
        <w:rPr>
          <w:rFonts w:ascii="Arial" w:cs="Arial" w:eastAsia="Arial" w:hAnsi="Arial"/>
          <w:b/>
          <w:bCs/>
          <w:sz w:val="24"/>
          <w:szCs w:val="24"/>
        </w:rPr>
        <w:t xml:space="preserve">"Цепочка"</w:t>
      </w:r>
      <w:r>
        <w:rPr>
          <w:rFonts w:ascii="Arial" w:cs="Arial" w:eastAsia="Arial" w:hAnsi="Arial"/>
          <w:sz w:val="24"/>
          <w:szCs w:val="24"/>
        </w:rPr>
        <w:t xml:space="preserve"> - исходящая логистика, связанная с подготовкой готовой продукции и транспортировкой ее покупателю.</w:t>
      </w:r>
    </w:p>
    <w:p>
      <w:pPr>
        <w:spacing w:after="120"/>
        <w:jc w:val="both"/>
      </w:pPr>
      <w:r>
        <w:rPr>
          <w:rFonts w:ascii="Arial" w:cs="Arial" w:eastAsia="Arial" w:hAnsi="Arial"/>
          <w:b/>
          <w:bCs/>
          <w:sz w:val="24"/>
          <w:szCs w:val="24"/>
        </w:rPr>
        <w:t xml:space="preserve">"ISO"</w:t>
      </w:r>
      <w:r>
        <w:rPr>
          <w:rFonts w:ascii="Arial" w:cs="Arial" w:eastAsia="Arial" w:hAnsi="Arial"/>
          <w:sz w:val="24"/>
          <w:szCs w:val="24"/>
        </w:rPr>
        <w:t xml:space="preserve"> - международная организация стандартизации.</w:t>
      </w:r>
    </w:p>
    <w:p>
      <w:pPr>
        <w:spacing w:after="120"/>
        <w:jc w:val="both"/>
      </w:pPr>
      <w:r>
        <w:rPr>
          <w:rFonts w:ascii="Arial" w:cs="Arial" w:eastAsia="Arial" w:hAnsi="Arial"/>
          <w:sz w:val="24"/>
          <w:szCs w:val="24"/>
        </w:rPr>
        <w:t xml:space="preserve">2. Анализ текущей ситуации</w:t>
      </w:r>
    </w:p>
    <w:p>
      <w:pPr>
        <w:spacing w:after="120"/>
        <w:jc w:val="both"/>
      </w:pPr>
      <w:r>
        <w:rPr>
          <w:rFonts w:ascii="Arial" w:cs="Arial" w:eastAsia="Arial" w:hAnsi="Arial"/>
          <w:sz w:val="24"/>
          <w:szCs w:val="24"/>
        </w:rPr>
        <w:t xml:space="preserve">Состояние внутреннего рынка и экспорта продукций растениеводства и животноводства.</w:t>
      </w:r>
    </w:p>
    <w:p>
      <w:pPr>
        <w:spacing w:after="120"/>
        <w:jc w:val="both"/>
      </w:pPr>
      <w:r>
        <w:rPr>
          <w:rFonts w:ascii="Arial" w:cs="Arial" w:eastAsia="Arial" w:hAnsi="Arial"/>
          <w:sz w:val="24"/>
          <w:szCs w:val="24"/>
        </w:rPr>
        <w:t xml:space="preserve">В сезон созревания плодоовощной продукции, большинство фермерских хозяйств ориентируются на продажу выращенной продукции напрямую экспортным компаниям, которые предъявляют высокие требования к качеству выращенной продукции. Данные компании осуществляют прямые поставки плодоовощной продукции на рынки ближнего и дальнего зарубежья автомобильным, железнодорожным и воздушным транспортом.</w:t>
      </w:r>
    </w:p>
    <w:p>
      <w:pPr>
        <w:spacing w:after="120"/>
        <w:jc w:val="both"/>
      </w:pPr>
      <w:r>
        <w:rPr>
          <w:rFonts w:ascii="Arial" w:cs="Arial" w:eastAsia="Arial" w:hAnsi="Arial"/>
          <w:sz w:val="24"/>
          <w:szCs w:val="24"/>
        </w:rPr>
        <w:t xml:space="preserve">Многие фермерские хозяйства основной объем выращенного урожая закладывают в хранилища, для реализации его весной будущего года по более выгодной цене. При хранении сельхозпродукции и неприспособленных помещениях, сохранность ее оказывается низкоэффективной и впоследствии ведет к убыткам и дополнительным затратам, связанным с порчей части товара, необходимости повторной переборки и расфасовки в соответствующие тарные емкости.</w:t>
      </w:r>
    </w:p>
    <w:p>
      <w:pPr>
        <w:spacing w:after="120"/>
        <w:jc w:val="both"/>
      </w:pPr>
      <w:r>
        <w:rPr>
          <w:rFonts w:ascii="Arial" w:cs="Arial" w:eastAsia="Arial" w:hAnsi="Arial"/>
          <w:sz w:val="24"/>
          <w:szCs w:val="24"/>
        </w:rPr>
        <w:t xml:space="preserve">Нерешенной остается проблема справедливого распределения доходов от продаж продукции агропромышленного комплекса между производителями сельскохозяйственной продукции, переработчиками и торгово-посредническими организациями. Фермеры несут существенные потери при реализации своей продукции из-за незнания спроса и предложения на рынке и нехватки хранилищ. Они нередко сбывают свою продукцию по минимальным ценам посредническим компаниям.</w:t>
      </w:r>
    </w:p>
    <w:p>
      <w:pPr>
        <w:spacing w:after="120"/>
        <w:jc w:val="both"/>
      </w:pPr>
      <w:r>
        <w:rPr>
          <w:rFonts w:ascii="Arial" w:cs="Arial" w:eastAsia="Arial" w:hAnsi="Arial"/>
          <w:sz w:val="24"/>
          <w:szCs w:val="24"/>
        </w:rPr>
        <w:t xml:space="preserve">Не сокращается разрыв между производством сельскохозяйственной продукции и объемом ее переработки. Многочисленные усилия по созданию различных форм кооперации сельскохозяйственного производства с перерабатывающей промышленностью и торговлей не дали ожидаемых результатов.</w:t>
      </w:r>
    </w:p>
    <w:p>
      <w:pPr>
        <w:spacing w:after="120"/>
        <w:jc w:val="both"/>
      </w:pPr>
      <w:r>
        <w:rPr>
          <w:rFonts w:ascii="Arial" w:cs="Arial" w:eastAsia="Arial" w:hAnsi="Arial"/>
          <w:sz w:val="24"/>
          <w:szCs w:val="24"/>
        </w:rPr>
        <w:t xml:space="preserve">Не принесли ожидаемого результата и усилия по созданию агропромышленных кластеров. Основные причины связаны с отсутствием эффективной методологической базы применения кластерных технологий, нехваткой подготовленных специалистов и рядом других причин. Остается актуальной проблема диспаритета цен, несмотря на рост цен на продукты питания. На развитие производства продовольственных товаров негативное влияние оказывают торговые барьеры, затрудняющие доступ продукции товаропроизводителей на рынки сопредельных государств.</w:t>
      </w:r>
    </w:p>
    <w:p>
      <w:pPr>
        <w:spacing w:after="120"/>
        <w:jc w:val="both"/>
      </w:pPr>
      <w:r>
        <w:rPr>
          <w:rFonts w:ascii="Arial" w:cs="Arial" w:eastAsia="Arial" w:hAnsi="Arial"/>
          <w:sz w:val="24"/>
          <w:szCs w:val="24"/>
        </w:rPr>
        <w:t xml:space="preserve">Другой немаловажной проблемой, сдерживающий рост экспорта, является низкое качество отечественной сельхозпродукции и продуктов ее переработки, поскольку слабо развита система контроля и сертификации качества сельскохозяйственной продукции, которая не в полной мере обеспечивает подтверждение соответствия продукции требованиям международных стандартов.</w:t>
      </w:r>
    </w:p>
    <w:p>
      <w:pPr>
        <w:spacing w:after="120"/>
        <w:jc w:val="both"/>
      </w:pPr>
      <w:r>
        <w:rPr>
          <w:rFonts w:ascii="Arial" w:cs="Arial" w:eastAsia="Arial" w:hAnsi="Arial"/>
          <w:sz w:val="24"/>
          <w:szCs w:val="24"/>
        </w:rPr>
        <w:t xml:space="preserve">Поставки на внутренний рынок и экспорт продукции животноводства в советское время осуществлялись специализированными структурами, через мясокомбинаты, при соблюдении соответствующих ветеринарных и санитарных требований, с обязательным предубойным и послеубойным ветеринарным контролем.</w:t>
      </w:r>
    </w:p>
    <w:p>
      <w:pPr>
        <w:spacing w:after="120"/>
        <w:jc w:val="both"/>
      </w:pPr>
      <w:r>
        <w:rPr>
          <w:rFonts w:ascii="Arial" w:cs="Arial" w:eastAsia="Arial" w:hAnsi="Arial"/>
          <w:sz w:val="24"/>
          <w:szCs w:val="24"/>
        </w:rPr>
        <w:t xml:space="preserve">В настоящее время, по ряду объективных причин, невозможно экспортировать за пределы республики мясо и мясную продукцию в связи с несоответствием убойных пунктов международным стандартам качества, отсутствием системы зонирования, идентификации животных, нестабильной эпизоотической ситуацией, несовершенством сертификационных лабораторий республики и т.д.</w:t>
      </w:r>
    </w:p>
    <w:p>
      <w:pPr>
        <w:spacing w:after="120"/>
        <w:jc w:val="both"/>
      </w:pPr>
      <w:r>
        <w:rPr>
          <w:rFonts w:ascii="Arial" w:cs="Arial" w:eastAsia="Arial" w:hAnsi="Arial"/>
          <w:sz w:val="24"/>
          <w:szCs w:val="24"/>
        </w:rPr>
        <w:t xml:space="preserve">Так, из 34 молочно-перерабатывающих заводов Кыргызской Республики только 8 имеют разрешение на экспорт молочных продуктов в Казахстан.</w:t>
      </w:r>
    </w:p>
    <w:p>
      <w:pPr>
        <w:spacing w:after="120"/>
        <w:jc w:val="both"/>
      </w:pPr>
      <w:r>
        <w:rPr>
          <w:rFonts w:ascii="Arial" w:cs="Arial" w:eastAsia="Arial" w:hAnsi="Arial"/>
          <w:sz w:val="24"/>
          <w:szCs w:val="24"/>
        </w:rPr>
        <w:t xml:space="preserve">Продукция животноводства реализуется, в основном, на внутреннем рынке республики.</w:t>
      </w:r>
    </w:p>
    <w:p>
      <w:pPr>
        <w:spacing w:after="120"/>
        <w:jc w:val="both"/>
      </w:pPr>
      <w:r>
        <w:rPr>
          <w:rFonts w:ascii="Arial" w:cs="Arial" w:eastAsia="Arial" w:hAnsi="Arial"/>
          <w:sz w:val="24"/>
          <w:szCs w:val="24"/>
        </w:rPr>
        <w:t xml:space="preserve">Цепочка поставки мяса и мясопродуктов на внутренний рынок осуществляется с нарушениями санитарных и ветеринарных норм.</w:t>
      </w:r>
    </w:p>
    <w:p>
      <w:pPr>
        <w:spacing w:after="120"/>
        <w:jc w:val="both"/>
      </w:pPr>
      <w:r>
        <w:rPr>
          <w:rFonts w:ascii="Arial" w:cs="Arial" w:eastAsia="Arial" w:hAnsi="Arial"/>
          <w:sz w:val="24"/>
          <w:szCs w:val="24"/>
        </w:rPr>
        <w:t xml:space="preserve">Из-за отсутствия должного ветеринарного контроля, подвергают убою больных животных, не соблюдаются сроки по запрету убоя животных после вакцинации и применения антибиотиков, акарицидных и антигельминтных препаратов, что может отразиться на здоровье потребителей.</w:t>
      </w:r>
    </w:p>
    <w:p>
      <w:pPr>
        <w:spacing w:after="120"/>
        <w:jc w:val="both"/>
      </w:pPr>
      <w:r>
        <w:rPr>
          <w:rFonts w:ascii="Arial" w:cs="Arial" w:eastAsia="Arial" w:hAnsi="Arial"/>
          <w:sz w:val="24"/>
          <w:szCs w:val="24"/>
        </w:rPr>
        <w:t xml:space="preserve">Доставка мяса и мясопродуктов до мест реализации или переработки осуществляется неспециализированным автотранспортом (в багажном отсеке или пассажирском салоне автомобилей), что приводит к бактериальному обсеменению продуктов.</w:t>
      </w:r>
    </w:p>
    <w:p>
      <w:pPr>
        <w:spacing w:after="120"/>
        <w:jc w:val="both"/>
      </w:pPr>
      <w:r>
        <w:rPr>
          <w:rFonts w:ascii="Arial" w:cs="Arial" w:eastAsia="Arial" w:hAnsi="Arial"/>
          <w:sz w:val="24"/>
          <w:szCs w:val="24"/>
        </w:rPr>
        <w:t xml:space="preserve">В связи с этим создание и развитие системы торгово-логистических центров, со всей необходимой инфраструктурой, позволило бы решить часть вышеуказанных проблем.</w:t>
      </w:r>
    </w:p>
    <w:p>
      <w:pPr>
        <w:spacing w:after="120"/>
        <w:jc w:val="both"/>
      </w:pPr>
      <w:r>
        <w:rPr>
          <w:rFonts w:ascii="Arial" w:cs="Arial" w:eastAsia="Arial" w:hAnsi="Arial"/>
          <w:sz w:val="24"/>
          <w:szCs w:val="24"/>
        </w:rPr>
        <w:t xml:space="preserve">Сертификация сельскохозяйственной продукции.</w:t>
      </w:r>
    </w:p>
    <w:p>
      <w:pPr>
        <w:spacing w:after="120"/>
        <w:jc w:val="both"/>
      </w:pPr>
      <w:r>
        <w:rPr>
          <w:rFonts w:ascii="Arial" w:cs="Arial" w:eastAsia="Arial" w:hAnsi="Arial"/>
          <w:sz w:val="24"/>
          <w:szCs w:val="24"/>
        </w:rPr>
        <w:t xml:space="preserve">В рамках присоединения Кыргызской Республики к Евразийскому экономическому союзу (далее - ЕАЭС) предусматривается оснащение лабораторий необходимым оборудованием для дальнейшего прохождения процедуры аккредитации на основе международных стандартов качества.</w:t>
      </w:r>
    </w:p>
    <w:p>
      <w:pPr>
        <w:spacing w:after="120"/>
        <w:jc w:val="both"/>
      </w:pPr>
      <w:r>
        <w:rPr>
          <w:rFonts w:ascii="Arial" w:cs="Arial" w:eastAsia="Arial" w:hAnsi="Arial"/>
          <w:sz w:val="24"/>
          <w:szCs w:val="24"/>
        </w:rPr>
        <w:t xml:space="preserve">Внедрение добровольного декларирования производителями сельхозпродуктов на предмет соответствия требованиям технических регламентов и последующий надлежащий контроль со стороны уполномоченных государственных органов позволит повысить экспортный потенциал Кыргызской Республики.</w:t>
      </w:r>
    </w:p>
    <w:p>
      <w:pPr>
        <w:spacing w:after="120"/>
        <w:jc w:val="both"/>
      </w:pPr>
      <w:r>
        <w:rPr>
          <w:rFonts w:ascii="Arial" w:cs="Arial" w:eastAsia="Arial" w:hAnsi="Arial"/>
          <w:sz w:val="24"/>
          <w:szCs w:val="24"/>
        </w:rPr>
        <w:t xml:space="preserve">Ценообразование сельскохозяйственной продукции.</w:t>
      </w:r>
    </w:p>
    <w:p>
      <w:pPr>
        <w:spacing w:after="120"/>
        <w:jc w:val="both"/>
      </w:pPr>
      <w:r>
        <w:rPr>
          <w:rFonts w:ascii="Arial" w:cs="Arial" w:eastAsia="Arial" w:hAnsi="Arial"/>
          <w:sz w:val="24"/>
          <w:szCs w:val="24"/>
        </w:rPr>
        <w:t xml:space="preserve">Анализ данных о потребительских ценах на плодоовощную продукцию и затрат на ее производство, сделанный в разрезе регионов за последние три года по видам плодоовощных культур, показал значительную разницу между ними.</w:t>
      </w:r>
    </w:p>
    <w:p>
      <w:pPr>
        <w:spacing w:after="120"/>
        <w:jc w:val="both"/>
      </w:pPr>
      <w:r>
        <w:rPr>
          <w:rFonts w:ascii="Arial" w:cs="Arial" w:eastAsia="Arial" w:hAnsi="Arial"/>
          <w:sz w:val="24"/>
          <w:szCs w:val="24"/>
        </w:rPr>
        <w:t xml:space="preserve">Цена реализации картофеля в розничной торговле имела наибольшую наценку в городе Бишкек (60%), а самая низкая наблюдалась в городе Каракол (26%).</w:t>
      </w:r>
    </w:p>
    <w:p>
      <w:pPr>
        <w:spacing w:after="120"/>
        <w:jc w:val="both"/>
      </w:pPr>
      <w:r>
        <w:rPr>
          <w:rFonts w:ascii="Arial" w:cs="Arial" w:eastAsia="Arial" w:hAnsi="Arial"/>
          <w:sz w:val="24"/>
          <w:szCs w:val="24"/>
        </w:rPr>
        <w:t xml:space="preserve">Данная ситуация объясняется тем, что наибольший объем производства картофеля сосредоточен в Иссык-Кульской области (в Ак-Суйском и Тюпском районах), в связи с чем среднегодовая наценка на картофель в городе Каракол держится на уровне 30%.</w:t>
      </w:r>
    </w:p>
    <w:p>
      <w:pPr>
        <w:spacing w:after="120"/>
        <w:jc w:val="both"/>
      </w:pPr>
      <w:r>
        <w:rPr>
          <w:rFonts w:ascii="Arial" w:cs="Arial" w:eastAsia="Arial" w:hAnsi="Arial"/>
          <w:sz w:val="24"/>
          <w:szCs w:val="24"/>
        </w:rPr>
        <w:t xml:space="preserve">В целом по республике за последние три года среднегодовая наценка на картофель не превышает 70%, поскольку происходит ежегодное перепроизводство именно данной культуры, не менее чем в два раза.</w:t>
      </w:r>
    </w:p>
    <w:p>
      <w:pPr>
        <w:spacing w:after="120"/>
        <w:jc w:val="both"/>
      </w:pPr>
      <w:r>
        <w:rPr>
          <w:rFonts w:ascii="Arial" w:cs="Arial" w:eastAsia="Arial" w:hAnsi="Arial"/>
          <w:sz w:val="24"/>
          <w:szCs w:val="24"/>
        </w:rPr>
        <w:t xml:space="preserve">Еще более существенно отличается ситуация со среднегодовыми ценами на томаты. Здесь наблюдается самая высокая разница между ценой на производство и потребление, в среднем эта разница по стране составляет от 200% до 500%.</w:t>
      </w:r>
    </w:p>
    <w:p>
      <w:pPr>
        <w:spacing w:after="120"/>
        <w:jc w:val="both"/>
      </w:pPr>
      <w:r>
        <w:rPr>
          <w:rFonts w:ascii="Arial" w:cs="Arial" w:eastAsia="Arial" w:hAnsi="Arial"/>
          <w:sz w:val="24"/>
          <w:szCs w:val="24"/>
        </w:rPr>
        <w:t xml:space="preserve">Высокий ценовой разрыв объясняется тем фактом, что Национальным статистическим комитетом Кыргызской Республики не ведется учет цен на томаты, выращенные в открытом грунте или в теплицах, а отслеживается лишь их среднегодовая цена.</w:t>
      </w:r>
    </w:p>
    <w:p>
      <w:pPr>
        <w:spacing w:after="120"/>
        <w:jc w:val="both"/>
      </w:pPr>
      <w:r>
        <w:rPr>
          <w:rFonts w:ascii="Arial" w:cs="Arial" w:eastAsia="Arial" w:hAnsi="Arial"/>
          <w:sz w:val="24"/>
          <w:szCs w:val="24"/>
        </w:rPr>
        <w:t xml:space="preserve">Строительство торгово-логистических центров позволит снизить затраты сельхозпроизводителей, связанные с хранением, распределением и транспортировкой выращенной плодоовощной продукции, в среднем на 30-50%. Следовательно, цена продукции может реально снизиться за счет правильного ее хранения, оптимального распределения и централизованных процедур таможенного оформления экспорта.</w:t>
      </w:r>
    </w:p>
    <w:p>
      <w:pPr>
        <w:spacing w:after="120"/>
        <w:jc w:val="both"/>
      </w:pPr>
      <w:r>
        <w:rPr>
          <w:rFonts w:ascii="Arial" w:cs="Arial" w:eastAsia="Arial" w:hAnsi="Arial"/>
          <w:sz w:val="24"/>
          <w:szCs w:val="24"/>
        </w:rPr>
        <w:t xml:space="preserve">Если принять во внимание, что в цепочке ценообразования от производителя до конечного потребителя потери скоропортящихся видов плодоовощной и перерабатывающей продукции доходят до 40%, то строительство локальных или региональных, а также международных торгово-логистических центров позволит снизить эти потери до 10-15% от всей выращенной продукции.</w:t>
      </w:r>
    </w:p>
    <w:p>
      <w:pPr>
        <w:spacing w:after="120"/>
        <w:jc w:val="both"/>
      </w:pPr>
      <w:r>
        <w:rPr>
          <w:rFonts w:ascii="Arial" w:cs="Arial" w:eastAsia="Arial" w:hAnsi="Arial"/>
          <w:sz w:val="24"/>
          <w:szCs w:val="24"/>
        </w:rPr>
        <w:t xml:space="preserve">3. Цели и задачи</w:t>
      </w:r>
    </w:p>
    <w:p>
      <w:pPr>
        <w:spacing w:after="120"/>
        <w:jc w:val="both"/>
      </w:pPr>
      <w:r>
        <w:rPr>
          <w:rFonts w:ascii="Arial" w:cs="Arial" w:eastAsia="Arial" w:hAnsi="Arial"/>
          <w:sz w:val="24"/>
          <w:szCs w:val="24"/>
        </w:rPr>
        <w:t xml:space="preserve">Целью создания системы торгово-логистических центров (далее - ТЛЦ) является круглогодичное обеспечение внутреннего рынка Кыргызской Республики сельскохозяйственной продукцией и повышение экспортного потенциала, имеющего важное значение в данном направлении.</w:t>
      </w:r>
    </w:p>
    <w:p>
      <w:pPr>
        <w:spacing w:after="120"/>
        <w:jc w:val="both"/>
      </w:pPr>
      <w:r>
        <w:rPr>
          <w:rFonts w:ascii="Arial" w:cs="Arial" w:eastAsia="Arial" w:hAnsi="Arial"/>
          <w:sz w:val="24"/>
          <w:szCs w:val="24"/>
        </w:rPr>
        <w:t xml:space="preserve">Строительство высокотехнологичных производственно-складских объектов агропромышленного комплекса, торгово-транспортной системы распределения сырья, продукции и продовольствия позволит комплексно решать следующие основные задачи:</w:t>
      </w:r>
    </w:p>
    <w:p>
      <w:pPr>
        <w:spacing w:after="120"/>
        <w:jc w:val="both"/>
      </w:pPr>
      <w:r>
        <w:rPr>
          <w:rFonts w:ascii="Arial" w:cs="Arial" w:eastAsia="Arial" w:hAnsi="Arial"/>
          <w:sz w:val="24"/>
          <w:szCs w:val="24"/>
        </w:rPr>
        <w:t xml:space="preserve">- увеличение емкости современных хранилищ сельскохозяйственной продукции, а также объемов ее производства и переработки;</w:t>
      </w:r>
    </w:p>
    <w:p>
      <w:pPr>
        <w:spacing w:after="120"/>
        <w:jc w:val="both"/>
      </w:pPr>
      <w:r>
        <w:rPr>
          <w:rFonts w:ascii="Arial" w:cs="Arial" w:eastAsia="Arial" w:hAnsi="Arial"/>
          <w:sz w:val="24"/>
          <w:szCs w:val="24"/>
        </w:rPr>
        <w:t xml:space="preserve">- обеспечение продовольственной безопасности;</w:t>
      </w:r>
    </w:p>
    <w:p>
      <w:pPr>
        <w:spacing w:after="120"/>
        <w:jc w:val="both"/>
      </w:pPr>
      <w:r>
        <w:rPr>
          <w:rFonts w:ascii="Arial" w:cs="Arial" w:eastAsia="Arial" w:hAnsi="Arial"/>
          <w:sz w:val="24"/>
          <w:szCs w:val="24"/>
        </w:rPr>
        <w:t xml:space="preserve">- минимизация логистических издержек и оптимизация конкурентоспособности продукции;</w:t>
      </w:r>
    </w:p>
    <w:p>
      <w:pPr>
        <w:spacing w:after="120"/>
        <w:jc w:val="both"/>
      </w:pPr>
      <w:r>
        <w:rPr>
          <w:rFonts w:ascii="Arial" w:cs="Arial" w:eastAsia="Arial" w:hAnsi="Arial"/>
          <w:sz w:val="24"/>
          <w:szCs w:val="24"/>
        </w:rPr>
        <w:t xml:space="preserve">- внедрение новых технологий с профессиональной подготовкой и обучением молодых специалистов в области механизации, автоматизации деятельности в сфере производства, долгосрочного хранения, переработки и распределения сельскохозяйственной продукции;</w:t>
      </w:r>
    </w:p>
    <w:p>
      <w:pPr>
        <w:spacing w:after="120"/>
        <w:jc w:val="both"/>
      </w:pPr>
      <w:r>
        <w:rPr>
          <w:rFonts w:ascii="Arial" w:cs="Arial" w:eastAsia="Arial" w:hAnsi="Arial"/>
          <w:sz w:val="24"/>
          <w:szCs w:val="24"/>
        </w:rPr>
        <w:t xml:space="preserve">- повышение конкурентоспособности отечественных товаров на внутреннем и внешнем рынках;</w:t>
      </w:r>
    </w:p>
    <w:p>
      <w:pPr>
        <w:spacing w:after="120"/>
        <w:jc w:val="both"/>
      </w:pPr>
      <w:r>
        <w:rPr>
          <w:rFonts w:ascii="Arial" w:cs="Arial" w:eastAsia="Arial" w:hAnsi="Arial"/>
          <w:sz w:val="24"/>
          <w:szCs w:val="24"/>
        </w:rPr>
        <w:t xml:space="preserve">- улучшение ветеринарной, фитосанитарной и санитарной ситуации;</w:t>
      </w:r>
    </w:p>
    <w:p>
      <w:pPr>
        <w:spacing w:after="120"/>
        <w:jc w:val="both"/>
      </w:pPr>
      <w:r>
        <w:rPr>
          <w:rFonts w:ascii="Arial" w:cs="Arial" w:eastAsia="Arial" w:hAnsi="Arial"/>
          <w:sz w:val="24"/>
          <w:szCs w:val="24"/>
        </w:rPr>
        <w:t xml:space="preserve">- обеспечение эффективной деятельности органов государственной власти в сфере развития сельского хозяйства и регулирования рынков сельскохозяйственной продукции, сырья и продовольствия;</w:t>
      </w:r>
    </w:p>
    <w:p>
      <w:pPr>
        <w:spacing w:after="120"/>
        <w:jc w:val="both"/>
      </w:pPr>
      <w:r>
        <w:rPr>
          <w:rFonts w:ascii="Arial" w:cs="Arial" w:eastAsia="Arial" w:hAnsi="Arial"/>
          <w:sz w:val="24"/>
          <w:szCs w:val="24"/>
        </w:rPr>
        <w:t xml:space="preserve">- развитие и рост круглогодичного производства продукции растениеводства (теплицы и оранжереи);</w:t>
      </w:r>
    </w:p>
    <w:p>
      <w:pPr>
        <w:spacing w:after="120"/>
        <w:jc w:val="both"/>
      </w:pPr>
      <w:r>
        <w:rPr>
          <w:rFonts w:ascii="Arial" w:cs="Arial" w:eastAsia="Arial" w:hAnsi="Arial"/>
          <w:sz w:val="24"/>
          <w:szCs w:val="24"/>
        </w:rPr>
        <w:t xml:space="preserve">- расширение объемов поставок сельскохозяйственной продукции и продуктов ее переработки, в том числе в несезонный период (ноябрь-апрель), на внутренний и внешний рынки;</w:t>
      </w:r>
    </w:p>
    <w:p>
      <w:pPr>
        <w:spacing w:after="120"/>
        <w:jc w:val="both"/>
      </w:pPr>
      <w:r>
        <w:rPr>
          <w:rFonts w:ascii="Arial" w:cs="Arial" w:eastAsia="Arial" w:hAnsi="Arial"/>
          <w:sz w:val="24"/>
          <w:szCs w:val="24"/>
        </w:rPr>
        <w:t xml:space="preserve">- повышение уровня занятости сельского населения, сохранение и создание новых высокотехнологичных рабочих мест;</w:t>
      </w:r>
    </w:p>
    <w:p>
      <w:pPr>
        <w:spacing w:after="120"/>
        <w:jc w:val="both"/>
      </w:pPr>
      <w:r>
        <w:rPr>
          <w:rFonts w:ascii="Arial" w:cs="Arial" w:eastAsia="Arial" w:hAnsi="Arial"/>
          <w:sz w:val="24"/>
          <w:szCs w:val="24"/>
        </w:rPr>
        <w:t xml:space="preserve">- повышение доходов сельскохозяйственных товаропроизводителей и качества жизни сельского населения.</w:t>
      </w:r>
    </w:p>
    <w:p>
      <w:pPr>
        <w:spacing w:after="120"/>
        <w:jc w:val="both"/>
      </w:pPr>
      <w:r>
        <w:rPr>
          <w:rFonts w:ascii="Arial" w:cs="Arial" w:eastAsia="Arial" w:hAnsi="Arial"/>
          <w:sz w:val="24"/>
          <w:szCs w:val="24"/>
        </w:rPr>
        <w:t xml:space="preserve">4. Правовые и институциональные особенности</w:t>
      </w:r>
    </w:p>
    <w:p>
      <w:pPr>
        <w:spacing w:after="120"/>
        <w:jc w:val="both"/>
      </w:pPr>
      <w:r>
        <w:rPr>
          <w:rFonts w:ascii="Arial" w:cs="Arial" w:eastAsia="Arial" w:hAnsi="Arial"/>
          <w:sz w:val="24"/>
          <w:szCs w:val="24"/>
        </w:rPr>
        <w:t xml:space="preserve">В Кыргызской Республике заложена правовая и институциональная основа для создания и развития торгово-логистических центров.</w:t>
      </w:r>
    </w:p>
    <w:p>
      <w:pPr>
        <w:spacing w:after="120"/>
        <w:jc w:val="both"/>
      </w:pPr>
      <w:r>
        <w:rPr>
          <w:rFonts w:ascii="Arial" w:cs="Arial" w:eastAsia="Arial" w:hAnsi="Arial"/>
          <w:sz w:val="24"/>
          <w:szCs w:val="24"/>
        </w:rPr>
        <w:t xml:space="preserve">В настоящее время в Кыргызской Республике приняты 47 технических регламентов, из них 45 - вступили в силу и действуют, в том числе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свежих фруктов и овощей", законы Кыргызской Республики "</w:t>
      </w:r>
      <w:r>
        <w:rPr>
          <w:rFonts w:ascii="Arial" w:cs="Arial" w:eastAsia="Arial" w:hAnsi="Arial"/>
          <w:sz w:val="24"/>
          <w:szCs w:val="24"/>
        </w:rPr>
        <w:t xml:space="preserve">Об идентификации животных</w:t>
      </w:r>
      <w:r>
        <w:rPr>
          <w:rFonts w:ascii="Arial" w:cs="Arial" w:eastAsia="Arial" w:hAnsi="Arial"/>
          <w:sz w:val="24"/>
          <w:szCs w:val="24"/>
        </w:rPr>
        <w:t xml:space="preserve">", "</w:t>
      </w:r>
      <w:r>
        <w:rPr>
          <w:rFonts w:ascii="Arial" w:cs="Arial" w:eastAsia="Arial" w:hAnsi="Arial"/>
          <w:sz w:val="24"/>
          <w:szCs w:val="24"/>
        </w:rPr>
        <w:t xml:space="preserve">О продовольственной безопасности</w:t>
      </w:r>
      <w:r>
        <w:rPr>
          <w:rFonts w:ascii="Arial" w:cs="Arial" w:eastAsia="Arial" w:hAnsi="Arial"/>
          <w:sz w:val="24"/>
          <w:szCs w:val="24"/>
        </w:rPr>
        <w:t xml:space="preserve">", "</w:t>
      </w:r>
      <w:r>
        <w:rPr>
          <w:rFonts w:ascii="Arial" w:cs="Arial" w:eastAsia="Arial" w:hAnsi="Arial"/>
          <w:sz w:val="24"/>
          <w:szCs w:val="24"/>
        </w:rPr>
        <w:t xml:space="preserve">О ветеринарии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инвестициях в Кыргызской Республике" устанавливаются основные принципы государственной инвестиционной политики, направленные на улучшение инвестиционного климата в стране и стимулирование привлечения отечественных и иностранных инвестиций, посредством предоставления справедливого, равного правового режима инвесторам и гарантии защиты привлеченных ими инвестиций в экономику Кыргызстана.</w:t>
      </w:r>
    </w:p>
    <w:p>
      <w:pPr>
        <w:spacing w:after="120"/>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государственно-частном партнерстве в Кыргызской Республике" предусматривает долгосрочное взаимодействие государственного и частного партнеров по вопросам привлечения государством частного партнера к проектированию, финансированию, строительству, восстановлению, реконструкция объектов, а также по управлению существующими или вновь создаваемыми объектами, в том числе инфраструктурными.</w:t>
      </w:r>
    </w:p>
    <w:p>
      <w:pPr>
        <w:spacing w:after="120"/>
        <w:jc w:val="both"/>
      </w:pPr>
      <w:r>
        <w:rPr>
          <w:rFonts w:ascii="Arial" w:cs="Arial" w:eastAsia="Arial" w:hAnsi="Arial"/>
          <w:sz w:val="24"/>
          <w:szCs w:val="24"/>
        </w:rPr>
        <w:t xml:space="preserve">В свою очередь, частными партнерами могут являться как резиденты, так и нерезиденты Кыргызской Республики.</w:t>
      </w:r>
    </w:p>
    <w:p>
      <w:pPr>
        <w:spacing w:after="120"/>
        <w:jc w:val="both"/>
      </w:pPr>
      <w:r>
        <w:rPr>
          <w:rFonts w:ascii="Arial" w:cs="Arial" w:eastAsia="Arial" w:hAnsi="Arial"/>
          <w:sz w:val="24"/>
          <w:szCs w:val="24"/>
        </w:rPr>
        <w:t xml:space="preserve">Государственную политику в сфере сельского хозяйства, земельных, водных ресурсов, ирригационной и мелиоративной инфраструктуры, перерабатывающей промышленности в Кыргызской Республике осуществляет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Государственный контроль за выполнением требований технических регламентов осуществляют следующие уполномоченные органы: Государственная инспекция по ветеринарной и фитосанитарной безопасности при Правительстве Кыргызской Республики, Государственная инспекция по экологической и технической безопасности при Правительстве Кыргызской Республики, Министерство здравоохранения Кыргызской Республики.</w:t>
      </w:r>
    </w:p>
    <w:p>
      <w:pPr>
        <w:spacing w:after="120"/>
        <w:jc w:val="both"/>
      </w:pPr>
      <w:r>
        <w:rPr>
          <w:rFonts w:ascii="Arial" w:cs="Arial" w:eastAsia="Arial" w:hAnsi="Arial"/>
          <w:sz w:val="24"/>
          <w:szCs w:val="24"/>
        </w:rPr>
        <w:t xml:space="preserve">До принятия решения о присоединении Кыргызской Республики к ЕАЭС в области сертификации сельскохозяйственной продукции не было аккредитованных лабораторий, что создавало определенные барьеры в международной торговле и угрозу безопасности пищевой продукции в республике.</w:t>
      </w:r>
    </w:p>
    <w:p>
      <w:pPr>
        <w:spacing w:after="120"/>
        <w:jc w:val="both"/>
      </w:pPr>
      <w:r>
        <w:rPr>
          <w:rFonts w:ascii="Arial" w:cs="Arial" w:eastAsia="Arial" w:hAnsi="Arial"/>
          <w:sz w:val="24"/>
          <w:szCs w:val="24"/>
        </w:rPr>
        <w:t xml:space="preserve">Слабо развитая система контроля и сертификации качества сельскохозяйственной продукции не обеспечивает подтверждение соответствия международным требованиям и стандартам.</w:t>
      </w:r>
    </w:p>
    <w:p>
      <w:pPr>
        <w:spacing w:after="120"/>
        <w:jc w:val="both"/>
      </w:pPr>
      <w:r>
        <w:rPr>
          <w:rFonts w:ascii="Arial" w:cs="Arial" w:eastAsia="Arial" w:hAnsi="Arial"/>
          <w:sz w:val="24"/>
          <w:szCs w:val="24"/>
        </w:rPr>
        <w:t xml:space="preserve">В рамках реализации "дорожной карты" по присоединению Кыргызстана к ЕАЭС предусмотрено оснащение лабораторий необходимым оборудованием для дальнейшего прохождения процедуры аккредитации и включения в Единый реестр, обновление разрешительной документации по расширению области аккредитации.</w:t>
      </w:r>
    </w:p>
    <w:p>
      <w:pPr>
        <w:spacing w:after="120"/>
        <w:jc w:val="both"/>
      </w:pPr>
      <w:r>
        <w:rPr>
          <w:rFonts w:ascii="Arial" w:cs="Arial" w:eastAsia="Arial" w:hAnsi="Arial"/>
          <w:sz w:val="24"/>
          <w:szCs w:val="24"/>
        </w:rPr>
        <w:t xml:space="preserve">Ветеринарно-диагностические лаборатории в городах Бишкек и Ош прошли аккредитацию, на 7 приграничных ветеринарных и фитосанитарных постах установлены и функционируют контейнеры, оснащенные необходимым оборудованием.</w:t>
      </w:r>
    </w:p>
    <w:p>
      <w:pPr>
        <w:spacing w:after="120"/>
        <w:jc w:val="both"/>
      </w:pPr>
      <w:r>
        <w:rPr>
          <w:rFonts w:ascii="Arial" w:cs="Arial" w:eastAsia="Arial" w:hAnsi="Arial"/>
          <w:sz w:val="24"/>
          <w:szCs w:val="24"/>
        </w:rPr>
        <w:t xml:space="preserve">5. Предпосылки для создания и развития торгово-логистических центров</w:t>
      </w:r>
    </w:p>
    <w:p>
      <w:pPr>
        <w:spacing w:after="120"/>
        <w:jc w:val="both"/>
      </w:pPr>
      <w:r>
        <w:rPr>
          <w:rFonts w:ascii="Arial" w:cs="Arial" w:eastAsia="Arial" w:hAnsi="Arial"/>
          <w:sz w:val="24"/>
          <w:szCs w:val="24"/>
        </w:rPr>
        <w:t xml:space="preserve">Создание и развитие ТЛЦ в Кыргызской Республике возможно на основе государственно-частного партнерства. Государственно-частное партнерство (далее - ГЧП) является новым подходом в государственном управлении, позволяющим расширить возможности участия частного сектора и бизнес-структур в реализации задач государственной важности.</w:t>
      </w:r>
    </w:p>
    <w:p>
      <w:pPr>
        <w:spacing w:after="120"/>
        <w:jc w:val="both"/>
      </w:pPr>
      <w:r>
        <w:rPr>
          <w:rFonts w:ascii="Arial" w:cs="Arial" w:eastAsia="Arial" w:hAnsi="Arial"/>
          <w:sz w:val="24"/>
          <w:szCs w:val="24"/>
        </w:rPr>
        <w:t xml:space="preserve">Выгоды и преимущества ГЧП состоят в следующем:</w:t>
      </w:r>
    </w:p>
    <w:p>
      <w:pPr>
        <w:spacing w:after="120"/>
        <w:jc w:val="both"/>
      </w:pPr>
      <w:r>
        <w:rPr>
          <w:rFonts w:ascii="Arial" w:cs="Arial" w:eastAsia="Arial" w:hAnsi="Arial"/>
          <w:sz w:val="24"/>
          <w:szCs w:val="24"/>
        </w:rPr>
        <w:t xml:space="preserve">- привлечение средств частного капитала;</w:t>
      </w:r>
    </w:p>
    <w:p>
      <w:pPr>
        <w:spacing w:after="120"/>
        <w:jc w:val="both"/>
      </w:pPr>
      <w:r>
        <w:rPr>
          <w:rFonts w:ascii="Arial" w:cs="Arial" w:eastAsia="Arial" w:hAnsi="Arial"/>
          <w:sz w:val="24"/>
          <w:szCs w:val="24"/>
        </w:rPr>
        <w:t xml:space="preserve">- долгосрочные инвестиции;</w:t>
      </w:r>
    </w:p>
    <w:p>
      <w:pPr>
        <w:spacing w:after="120"/>
        <w:jc w:val="both"/>
      </w:pPr>
      <w:r>
        <w:rPr>
          <w:rFonts w:ascii="Arial" w:cs="Arial" w:eastAsia="Arial" w:hAnsi="Arial"/>
          <w:sz w:val="24"/>
          <w:szCs w:val="24"/>
        </w:rPr>
        <w:t xml:space="preserve">- новые объекты - новые качественные услуги;</w:t>
      </w:r>
    </w:p>
    <w:p>
      <w:pPr>
        <w:spacing w:after="120"/>
        <w:jc w:val="both"/>
      </w:pPr>
      <w:r>
        <w:rPr>
          <w:rFonts w:ascii="Arial" w:cs="Arial" w:eastAsia="Arial" w:hAnsi="Arial"/>
          <w:sz w:val="24"/>
          <w:szCs w:val="24"/>
        </w:rPr>
        <w:t xml:space="preserve">- передовой опыт и инициатива частного сектора;</w:t>
      </w:r>
    </w:p>
    <w:p>
      <w:pPr>
        <w:spacing w:after="120"/>
        <w:jc w:val="both"/>
      </w:pPr>
      <w:r>
        <w:rPr>
          <w:rFonts w:ascii="Arial" w:cs="Arial" w:eastAsia="Arial" w:hAnsi="Arial"/>
          <w:sz w:val="24"/>
          <w:szCs w:val="24"/>
        </w:rPr>
        <w:t xml:space="preserve">- противодействие неэффективному распределению бюджетных средств.</w:t>
      </w:r>
    </w:p>
    <w:p>
      <w:pPr>
        <w:spacing w:after="120"/>
        <w:jc w:val="both"/>
      </w:pPr>
      <w:r>
        <w:rPr>
          <w:rFonts w:ascii="Arial" w:cs="Arial" w:eastAsia="Arial" w:hAnsi="Arial"/>
          <w:sz w:val="24"/>
          <w:szCs w:val="24"/>
        </w:rPr>
        <w:t xml:space="preserve">Для внедрения ГЧП необходимо решение таких вопросов, как выделение земли, определение государственного партнера, который в будущем будет инициировать и реализовывать проект, проведение тщательного анализа эффективности и целесообразности ТЛЦ путем разработки технико-экономического обоснования.</w:t>
      </w:r>
    </w:p>
    <w:p>
      <w:pPr>
        <w:spacing w:after="120"/>
        <w:jc w:val="both"/>
      </w:pPr>
      <w:r>
        <w:rPr>
          <w:rFonts w:ascii="Arial" w:cs="Arial" w:eastAsia="Arial" w:hAnsi="Arial"/>
          <w:sz w:val="24"/>
          <w:szCs w:val="24"/>
        </w:rPr>
        <w:t xml:space="preserve">Эффективная работа ТЛЦ возможна только при наличии необходимой инфраструктуры, особенно в области обеспечения безопасности пищевых продуктов, пищевого стандарта, решения санитарных, фитосанитарных и ветеринарных вопросов.</w:t>
      </w:r>
    </w:p>
    <w:p>
      <w:pPr>
        <w:spacing w:after="120"/>
        <w:jc w:val="both"/>
      </w:pPr>
      <w:r>
        <w:rPr>
          <w:rFonts w:ascii="Arial" w:cs="Arial" w:eastAsia="Arial" w:hAnsi="Arial"/>
          <w:sz w:val="24"/>
          <w:szCs w:val="24"/>
        </w:rPr>
        <w:t xml:space="preserve">В связи с присоединением Кыргызской Республики к ЕАЭС вводится Единый реестр деклараций/сертификатов соответствия ЕАЭС - Единый порядок регистрации деклараций о соответствии техническим регламентам ЕАЭС.</w:t>
      </w:r>
    </w:p>
    <w:p>
      <w:pPr>
        <w:spacing w:after="120"/>
        <w:jc w:val="both"/>
      </w:pPr>
      <w:r>
        <w:rPr>
          <w:rFonts w:ascii="Arial" w:cs="Arial" w:eastAsia="Arial" w:hAnsi="Arial"/>
          <w:sz w:val="24"/>
          <w:szCs w:val="24"/>
        </w:rPr>
        <w:t xml:space="preserve">Со дня вступления в силу </w:t>
      </w:r>
      <w:r>
        <w:rPr>
          <w:rFonts w:ascii="Arial" w:cs="Arial" w:eastAsia="Arial" w:hAnsi="Arial"/>
          <w:sz w:val="24"/>
          <w:szCs w:val="24"/>
        </w:rPr>
        <w:t xml:space="preserve">Договора </w:t>
      </w:r>
      <w:r>
        <w:rPr>
          <w:rFonts w:ascii="Arial" w:cs="Arial" w:eastAsia="Arial" w:hAnsi="Arial"/>
          <w:sz w:val="24"/>
          <w:szCs w:val="24"/>
        </w:rPr>
        <w:t xml:space="preserve">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ЕАЭС в отношении технических регламентов будут действовать два режима: национальный режим и единый режим для стран ЕАЭС.</w:t>
      </w:r>
    </w:p>
    <w:p>
      <w:pPr>
        <w:spacing w:after="120"/>
        <w:jc w:val="both"/>
      </w:pPr>
      <w:r>
        <w:rPr>
          <w:rFonts w:ascii="Arial" w:cs="Arial" w:eastAsia="Arial" w:hAnsi="Arial"/>
          <w:sz w:val="24"/>
          <w:szCs w:val="24"/>
        </w:rPr>
        <w:t xml:space="preserve">Под единый режим регулирования попадает продукция, включенная в Единый перечень продукции, подлежащей обязательной оценке (подтверждению) соответствия в рамках ЕАЭС, с выдачей единых документов, подтверждающих безопасность продукции.</w:t>
      </w:r>
    </w:p>
    <w:p>
      <w:pPr>
        <w:spacing w:after="120"/>
        <w:jc w:val="both"/>
      </w:pPr>
      <w:r>
        <w:rPr>
          <w:rFonts w:ascii="Arial" w:cs="Arial" w:eastAsia="Arial" w:hAnsi="Arial"/>
          <w:sz w:val="24"/>
          <w:szCs w:val="24"/>
        </w:rPr>
        <w:t xml:space="preserve">Национальный режим будет действовать для товаров, предназначенных для обращения на внутреннем рынке, только на территории Кыргызской Республики. Для пищевой продукции установлен переходный период - два года.</w:t>
      </w:r>
    </w:p>
    <w:p>
      <w:pPr>
        <w:spacing w:after="120"/>
        <w:jc w:val="both"/>
      </w:pPr>
      <w:r>
        <w:rPr>
          <w:rFonts w:ascii="Arial" w:cs="Arial" w:eastAsia="Arial" w:hAnsi="Arial"/>
          <w:sz w:val="24"/>
          <w:szCs w:val="24"/>
        </w:rPr>
        <w:t xml:space="preserve">В рамках функционирования внутреннего рынка во взаимной торговле товарами государства - члены ЕАЭС не применяют ввозные и вывозные таможенные пошлины (иные пошлины, налоги и сборы, имеющие эквивалентное действие), меры нетарифного регулирования, специальные защитные, антидемпинговые и компенсационные меры, за исключением случаев, предусмотренных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от 29 мая 2014 года.</w:t>
      </w:r>
    </w:p>
    <w:p>
      <w:pPr>
        <w:spacing w:after="120"/>
        <w:jc w:val="both"/>
      </w:pPr>
      <w:r>
        <w:rPr>
          <w:rFonts w:ascii="Arial" w:cs="Arial" w:eastAsia="Arial" w:hAnsi="Arial"/>
          <w:sz w:val="24"/>
          <w:szCs w:val="24"/>
        </w:rPr>
        <w:t xml:space="preserve">При этом государства - члены ЕАЭС во взаимной торговле товарами вправе применять ограничения (при условии, что такие меры не являются средством неоправданной дискриминации или скрытым ограничением торговли).</w:t>
      </w:r>
    </w:p>
    <w:p>
      <w:pPr>
        <w:spacing w:after="120"/>
        <w:jc w:val="both"/>
      </w:pPr>
      <w:r>
        <w:rPr>
          <w:rFonts w:ascii="Arial" w:cs="Arial" w:eastAsia="Arial" w:hAnsi="Arial"/>
          <w:sz w:val="24"/>
          <w:szCs w:val="24"/>
        </w:rPr>
        <w:t xml:space="preserve">Вступление Кыргызстана во Всемирную торговую организацию (ВТО) способствовало доступу на международные рынки и созданию для отечественных производителей конкурентной среды. В стране создана основа предсказуемой торговой системы, расширилась география и изменилась структура внешнеторгового оборота.</w:t>
      </w:r>
    </w:p>
    <w:p>
      <w:pPr>
        <w:spacing w:after="120"/>
        <w:jc w:val="both"/>
      </w:pPr>
      <w:r>
        <w:rPr>
          <w:rFonts w:ascii="Arial" w:cs="Arial" w:eastAsia="Arial" w:hAnsi="Arial"/>
          <w:sz w:val="24"/>
          <w:szCs w:val="24"/>
        </w:rPr>
        <w:t xml:space="preserve">Кыргызская Республика является бенефициаром Всеобщей системы преференций Европейского союза с 1993 года. Однако, уровень использования указанной схемы является низким и требует улучшения.</w:t>
      </w:r>
    </w:p>
    <w:p>
      <w:pPr>
        <w:spacing w:after="120"/>
        <w:jc w:val="both"/>
      </w:pPr>
      <w:r>
        <w:rPr>
          <w:rFonts w:ascii="Arial" w:cs="Arial" w:eastAsia="Arial" w:hAnsi="Arial"/>
          <w:sz w:val="24"/>
          <w:szCs w:val="24"/>
        </w:rPr>
        <w:t xml:space="preserve">В целях получения статуса пользователя Всеобщей системы преференций Европейского союза для Кыргызской Республики и использования дополнительных тарифных преференций, а также содействия продвижению экспорта кыргызских товаров в страны Европейского союза и усиления интеграции в международную торговую систему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18 марта 2015 года № 105-р одобрен текст заявления об обязательстве Кыргызской Республики в адрес Комиссии Европейского союза по применению специальной схемы стимулирования устойчивого развития и добросовестного управления (схемы Всеобщей системы преференций +) Европейского союза. Данная преференция предусматривает предоставление льготных и нулевых ставок таможенных пошлин на продукцию, экспортируемую из Кыргызстана в страны Европейского союза, в том числе сельскохозяйственную.</w:t>
      </w:r>
    </w:p>
    <w:p>
      <w:pPr>
        <w:spacing w:after="120"/>
        <w:jc w:val="both"/>
      </w:pPr>
      <w:r>
        <w:rPr>
          <w:rFonts w:ascii="Arial" w:cs="Arial" w:eastAsia="Arial" w:hAnsi="Arial"/>
          <w:sz w:val="24"/>
          <w:szCs w:val="24"/>
        </w:rPr>
        <w:t xml:space="preserve">Учитывая высокие требования и стандарты к качеству товаров в странах ЕАЭС и Европейского союза, целесообразно ориентировать ТЛЦ на увеличение производства и экспорта высококачественных продовольственных товаров по мере насыщения ими внутреннего рынка.</w:t>
      </w:r>
    </w:p>
    <w:p>
      <w:pPr>
        <w:spacing w:after="120"/>
        <w:jc w:val="both"/>
      </w:pPr>
      <w:r>
        <w:rPr>
          <w:rFonts w:ascii="Arial" w:cs="Arial" w:eastAsia="Arial" w:hAnsi="Arial"/>
          <w:sz w:val="24"/>
          <w:szCs w:val="24"/>
        </w:rPr>
        <w:t xml:space="preserve">6. Основные критерии планирования и создания торгово-логистических центров</w:t>
      </w:r>
    </w:p>
    <w:p>
      <w:pPr>
        <w:spacing w:after="120"/>
        <w:jc w:val="both"/>
      </w:pPr>
      <w:r>
        <w:rPr>
          <w:rFonts w:ascii="Arial" w:cs="Arial" w:eastAsia="Arial" w:hAnsi="Arial"/>
          <w:sz w:val="24"/>
          <w:szCs w:val="24"/>
        </w:rPr>
        <w:t xml:space="preserve">Создание и развитие ТЛЦ охватывает комплекс совместных мероприятий государственных органов, органов местного самоуправления, частных компаний, кооперативов и/или международных донорских организаций.</w:t>
      </w:r>
    </w:p>
    <w:p>
      <w:pPr>
        <w:spacing w:after="120"/>
        <w:jc w:val="both"/>
      </w:pPr>
      <w:r>
        <w:rPr>
          <w:rFonts w:ascii="Arial" w:cs="Arial" w:eastAsia="Arial" w:hAnsi="Arial"/>
          <w:sz w:val="24"/>
          <w:szCs w:val="24"/>
        </w:rPr>
        <w:t xml:space="preserve">Строительство ТЛЦ включает 4 параметра:</w:t>
      </w:r>
    </w:p>
    <w:p>
      <w:pPr>
        <w:spacing w:after="120"/>
        <w:jc w:val="both"/>
      </w:pPr>
      <w:r>
        <w:rPr>
          <w:rFonts w:ascii="Arial" w:cs="Arial" w:eastAsia="Arial" w:hAnsi="Arial"/>
          <w:sz w:val="24"/>
          <w:szCs w:val="24"/>
        </w:rPr>
        <w:t xml:space="preserve">- приоритетность сельскохозяйственной продукции, которая будет обработана;</w:t>
      </w:r>
    </w:p>
    <w:p>
      <w:pPr>
        <w:spacing w:after="120"/>
        <w:jc w:val="both"/>
      </w:pPr>
      <w:r>
        <w:rPr>
          <w:rFonts w:ascii="Arial" w:cs="Arial" w:eastAsia="Arial" w:hAnsi="Arial"/>
          <w:sz w:val="24"/>
          <w:szCs w:val="24"/>
        </w:rPr>
        <w:t xml:space="preserve">- расположение (место дислокации);</w:t>
      </w:r>
    </w:p>
    <w:p>
      <w:pPr>
        <w:spacing w:after="120"/>
        <w:jc w:val="both"/>
      </w:pPr>
      <w:r>
        <w:rPr>
          <w:rFonts w:ascii="Arial" w:cs="Arial" w:eastAsia="Arial" w:hAnsi="Arial"/>
          <w:sz w:val="24"/>
          <w:szCs w:val="24"/>
        </w:rPr>
        <w:t xml:space="preserve">- размер (объемы продукции для хранения и охват региона);</w:t>
      </w:r>
    </w:p>
    <w:p>
      <w:pPr>
        <w:spacing w:after="120"/>
        <w:jc w:val="both"/>
      </w:pPr>
      <w:r>
        <w:rPr>
          <w:rFonts w:ascii="Arial" w:cs="Arial" w:eastAsia="Arial" w:hAnsi="Arial"/>
          <w:sz w:val="24"/>
          <w:szCs w:val="24"/>
        </w:rPr>
        <w:t xml:space="preserve">- эксплуатация (управление и обслуживание).</w:t>
      </w:r>
    </w:p>
    <w:p>
      <w:pPr>
        <w:spacing w:after="120"/>
        <w:jc w:val="both"/>
      </w:pPr>
      <w:r>
        <w:rPr>
          <w:rFonts w:ascii="Arial" w:cs="Arial" w:eastAsia="Arial" w:hAnsi="Arial"/>
          <w:sz w:val="24"/>
          <w:szCs w:val="24"/>
        </w:rPr>
        <w:t xml:space="preserve">Предполагается создание ТЛЦ по обработке следующих видов сельскохозяйственной продукции: овощи, фрукты, ягоды, бобовые, мясо и мясные продукты, молоко и молочные продукты.</w:t>
      </w:r>
    </w:p>
    <w:p>
      <w:pPr>
        <w:spacing w:after="120"/>
        <w:jc w:val="both"/>
      </w:pPr>
      <w:r>
        <w:rPr>
          <w:rFonts w:ascii="Arial" w:cs="Arial" w:eastAsia="Arial" w:hAnsi="Arial"/>
          <w:sz w:val="24"/>
          <w:szCs w:val="24"/>
        </w:rPr>
        <w:t xml:space="preserve">Приоритет указанных видов сельскохозяйственной продукции будет зависеть от ряда факторов, включающих конкурентоспособность рассматриваемого продукта, качество, продажную цену, значение продукта для экономики страны, объемы производства и количество задействованных сельхозпроизводителей и переработчиков.</w:t>
      </w:r>
    </w:p>
    <w:p>
      <w:pPr>
        <w:spacing w:after="120"/>
        <w:jc w:val="both"/>
      </w:pPr>
      <w:r>
        <w:rPr>
          <w:rFonts w:ascii="Arial" w:cs="Arial" w:eastAsia="Arial" w:hAnsi="Arial"/>
          <w:sz w:val="24"/>
          <w:szCs w:val="24"/>
        </w:rPr>
        <w:t xml:space="preserve">Расположение ТЛЦ предполагает три уровня: международный, региональный и локальный.</w:t>
      </w:r>
    </w:p>
    <w:p>
      <w:pPr>
        <w:spacing w:after="120"/>
        <w:jc w:val="both"/>
      </w:pPr>
      <w:r>
        <w:rPr>
          <w:rFonts w:ascii="Arial" w:cs="Arial" w:eastAsia="Arial" w:hAnsi="Arial"/>
          <w:sz w:val="24"/>
          <w:szCs w:val="24"/>
        </w:rPr>
        <w:t xml:space="preserve">Международный ТЛЦ (располагается на территории, недалеко от границ страны-экспортера, рядом с аэропортом и/или узлом автодорожного и железнодорожного движения), в котором будут осуществляться поставки продукции сельского хозяйства локальными и региональными ТЛЦ.</w:t>
      </w:r>
    </w:p>
    <w:p>
      <w:pPr>
        <w:spacing w:after="120"/>
        <w:jc w:val="both"/>
      </w:pPr>
      <w:r>
        <w:rPr>
          <w:rFonts w:ascii="Arial" w:cs="Arial" w:eastAsia="Arial" w:hAnsi="Arial"/>
          <w:sz w:val="24"/>
          <w:szCs w:val="24"/>
        </w:rPr>
        <w:t xml:space="preserve">Региональный ТЛЦ будет обеспечивать снабжение региона (область, район) продукцией сельского хозяйства, поставляемой локальными ТЛЦ, может располагаться в экономически развитом городе, обычно в областном центре, недалеко от границы целевого рынка, рядом с узлом автодорожного и/или железнодорожного движения.</w:t>
      </w:r>
    </w:p>
    <w:p>
      <w:pPr>
        <w:spacing w:after="120"/>
        <w:jc w:val="both"/>
      </w:pPr>
      <w:r>
        <w:rPr>
          <w:rFonts w:ascii="Arial" w:cs="Arial" w:eastAsia="Arial" w:hAnsi="Arial"/>
          <w:sz w:val="24"/>
          <w:szCs w:val="24"/>
        </w:rPr>
        <w:t xml:space="preserve">Локальный ТЛЦ осуществляет сбор, сортировку, хранение сельхозпродукции для отправки в региональный или на экспортный рынок через региональные или международные ТЛЦ. Он может располагаться в центре или внутри района выращивания продукции, в зоне основного производства и недалеко от транспортных коридоров (автомобильных, железнодорожных).</w:t>
      </w:r>
    </w:p>
    <w:p>
      <w:pPr>
        <w:spacing w:after="120"/>
        <w:jc w:val="both"/>
      </w:pPr>
      <w:r>
        <w:rPr>
          <w:rFonts w:ascii="Arial" w:cs="Arial" w:eastAsia="Arial" w:hAnsi="Arial"/>
          <w:sz w:val="24"/>
          <w:szCs w:val="24"/>
        </w:rPr>
        <w:t xml:space="preserve">Размер ТЛЦ будет зависеть от уровня ТЛЦ и его месторасположения. Предполагается, что ТЛЦ международного уровня будут расположены: один - на юге страны ("Южный"), другой - на севере страны ("Северный").</w:t>
      </w:r>
    </w:p>
    <w:p>
      <w:pPr>
        <w:spacing w:after="120"/>
        <w:jc w:val="both"/>
      </w:pPr>
      <w:r>
        <w:rPr>
          <w:rFonts w:ascii="Arial" w:cs="Arial" w:eastAsia="Arial" w:hAnsi="Arial"/>
          <w:sz w:val="24"/>
          <w:szCs w:val="24"/>
        </w:rPr>
        <w:t xml:space="preserve">Международный ТЛЦ "Северный" будет ориентирован в основном на экспорт продукции в страны ЕАЭС, Европу и т.д., а международный ТЛЦ "Южный" - на экспорт продукции в Узбекистан, Таджикистан, Афганистан и т.д.</w:t>
      </w:r>
    </w:p>
    <w:p>
      <w:pPr>
        <w:spacing w:after="120"/>
        <w:jc w:val="both"/>
      </w:pPr>
      <w:r>
        <w:rPr>
          <w:rFonts w:ascii="Arial" w:cs="Arial" w:eastAsia="Arial" w:hAnsi="Arial"/>
          <w:sz w:val="24"/>
          <w:szCs w:val="24"/>
        </w:rPr>
        <w:t xml:space="preserve">Региональные ТЛЦ будут иметь цель закупать сельхозпродукцию у фермеров и снабжать население на уровне области, а также прилегающие районы и села, а также удовлетворять потребности международных ТЛЦ.</w:t>
      </w:r>
    </w:p>
    <w:p>
      <w:pPr>
        <w:spacing w:after="120"/>
        <w:jc w:val="both"/>
      </w:pPr>
      <w:r>
        <w:rPr>
          <w:rFonts w:ascii="Arial" w:cs="Arial" w:eastAsia="Arial" w:hAnsi="Arial"/>
          <w:sz w:val="24"/>
          <w:szCs w:val="24"/>
        </w:rPr>
        <w:t xml:space="preserve">Локальные ТЛЦ будут иметь цель закупать сельхозпродукцию непосредственно у фермеров, аккумулировать, сортировать, хранить и системно снабжать региональные и международные ТЛЦ или оптовые рынки и розничные сети.</w:t>
      </w:r>
    </w:p>
    <w:p>
      <w:pPr>
        <w:spacing w:after="120"/>
        <w:jc w:val="both"/>
      </w:pPr>
      <w:r>
        <w:rPr>
          <w:rFonts w:ascii="Arial" w:cs="Arial" w:eastAsia="Arial" w:hAnsi="Arial"/>
          <w:sz w:val="24"/>
          <w:szCs w:val="24"/>
        </w:rPr>
        <w:t xml:space="preserve">7. Меры реализации Основных направлений</w:t>
      </w:r>
    </w:p>
    <w:p>
      <w:pPr>
        <w:spacing w:after="120"/>
        <w:jc w:val="both"/>
      </w:pPr>
      <w:r>
        <w:rPr>
          <w:rFonts w:ascii="Arial" w:cs="Arial" w:eastAsia="Arial" w:hAnsi="Arial"/>
          <w:sz w:val="24"/>
          <w:szCs w:val="24"/>
        </w:rPr>
        <w:t xml:space="preserve">Для эффективной работы ТЛЦ предлагается создать два международных торгово-логистических центра и 7 региональных логистических центров с конкретными целевыми продуктами, при поддержке местных логистических центров, собирающих продукты напрямую от производителей.</w:t>
      </w:r>
    </w:p>
    <w:p>
      <w:pPr>
        <w:spacing w:after="120"/>
        <w:jc w:val="both"/>
      </w:pPr>
      <w:r>
        <w:rPr>
          <w:rFonts w:ascii="Arial" w:cs="Arial" w:eastAsia="Arial" w:hAnsi="Arial"/>
          <w:sz w:val="24"/>
          <w:szCs w:val="24"/>
        </w:rPr>
        <w:t xml:space="preserve">Сельскохозяйственные продукты будут сопровождаться сертификатами, выдаваемыми аккредитованными лабораториями, подтверждающими соответствие продукта требованиям пищевой безопасности, стандартам санитарных, фитосанитарных и ветеринарных требований. Сертификаты будут выданы на основании экспертизы, проведенной соответствующей лабораторией.</w:t>
      </w:r>
    </w:p>
    <w:p>
      <w:pPr>
        <w:spacing w:after="120"/>
        <w:jc w:val="both"/>
      </w:pPr>
      <w:r>
        <w:rPr>
          <w:rFonts w:ascii="Arial" w:cs="Arial" w:eastAsia="Arial" w:hAnsi="Arial"/>
          <w:sz w:val="24"/>
          <w:szCs w:val="24"/>
        </w:rPr>
        <w:t xml:space="preserve">Рекомендуется стимулировать создание частных лабораторий по контролю пищевой безопасности. Основанием являются нормы принятого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ветеринарии". В целях обеспечения признания странами-импортерами сертификатов, выданных частными лабораториями, необходимо, чтобы они имели аккредитацию по системе ISO.</w:t>
      </w:r>
    </w:p>
    <w:p>
      <w:pPr>
        <w:spacing w:after="120"/>
        <w:jc w:val="both"/>
      </w:pPr>
      <w:r>
        <w:rPr>
          <w:rFonts w:ascii="Arial" w:cs="Arial" w:eastAsia="Arial" w:hAnsi="Arial"/>
          <w:sz w:val="24"/>
          <w:szCs w:val="24"/>
        </w:rPr>
        <w:t xml:space="preserve">Со стороны академического сообщества ожидается предоставление технической и научной экспертизы.</w:t>
      </w:r>
    </w:p>
    <w:p>
      <w:pPr>
        <w:spacing w:after="120"/>
        <w:jc w:val="both"/>
      </w:pPr>
      <w:r>
        <w:rPr>
          <w:rFonts w:ascii="Arial" w:cs="Arial" w:eastAsia="Arial" w:hAnsi="Arial"/>
          <w:sz w:val="24"/>
          <w:szCs w:val="24"/>
        </w:rPr>
        <w:t xml:space="preserve">Существенным требованием в отношении инфраструктуры, является ожидаемое сотрудничество академического сообщества с государственными органами для разработки технических регламентов. Академическое сообщество должно играть ведущую роль в создании лабораторий по внедрению лабораторных методов, отвечающих международным стандартам, и в обучении сотрудников лаборатории.</w:t>
      </w:r>
    </w:p>
    <w:p>
      <w:pPr>
        <w:spacing w:after="120"/>
        <w:jc w:val="both"/>
      </w:pPr>
      <w:r>
        <w:rPr>
          <w:rFonts w:ascii="Arial" w:cs="Arial" w:eastAsia="Arial" w:hAnsi="Arial"/>
          <w:sz w:val="24"/>
          <w:szCs w:val="24"/>
        </w:rPr>
        <w:t xml:space="preserve">В этом отношении роль Учебно-практического центра пищевой и перерабатывающей промышленности "Технолог" при Кыргызском государственном техническом университете имени И.Раззакова (далее - Центр) должна быть усилена. Данный Центр может быть использован в качестве базы для подготовки специалистов, обучения и повышения квалификации сотрудников пищевой и перерабатывающей промышленности, а также лабораторий (государственных и частных).</w:t>
      </w:r>
    </w:p>
    <w:p>
      <w:pPr>
        <w:spacing w:after="120"/>
        <w:jc w:val="both"/>
      </w:pPr>
      <w:r>
        <w:rPr>
          <w:rFonts w:ascii="Arial" w:cs="Arial" w:eastAsia="Arial" w:hAnsi="Arial"/>
          <w:sz w:val="24"/>
          <w:szCs w:val="24"/>
        </w:rPr>
        <w:t xml:space="preserve">8. Мониторинг и оценка</w:t>
      </w:r>
    </w:p>
    <w:p>
      <w:pPr>
        <w:spacing w:after="120"/>
        <w:jc w:val="both"/>
      </w:pPr>
      <w:r>
        <w:rPr>
          <w:rFonts w:ascii="Arial" w:cs="Arial" w:eastAsia="Arial" w:hAnsi="Arial"/>
          <w:sz w:val="24"/>
          <w:szCs w:val="24"/>
        </w:rPr>
        <w:t xml:space="preserve">Основные направления основаны на партнерстве государственных органов, научных учреждений Национальной академии наук Кыргызской Республики, учебных заведений, общественности и бизнес-структур.</w:t>
      </w:r>
    </w:p>
    <w:p>
      <w:pPr>
        <w:spacing w:after="120"/>
        <w:jc w:val="both"/>
      </w:pPr>
      <w:r>
        <w:rPr>
          <w:rFonts w:ascii="Arial" w:cs="Arial" w:eastAsia="Arial" w:hAnsi="Arial"/>
          <w:sz w:val="24"/>
          <w:szCs w:val="24"/>
        </w:rPr>
        <w:t xml:space="preserve">Регулярный мониторинг и оценка выполнения конкретных мер Основных направлений станет эффективным инструментом отслеживания прогресса их реализации, который позволит:</w:t>
      </w:r>
    </w:p>
    <w:p>
      <w:pPr>
        <w:spacing w:after="120"/>
        <w:jc w:val="both"/>
      </w:pPr>
      <w:r>
        <w:rPr>
          <w:rFonts w:ascii="Arial" w:cs="Arial" w:eastAsia="Arial" w:hAnsi="Arial"/>
          <w:sz w:val="24"/>
          <w:szCs w:val="24"/>
        </w:rPr>
        <w:t xml:space="preserve">- принимать решения по внесению корректировок в процесс продвижения приоритетов;</w:t>
      </w:r>
    </w:p>
    <w:p>
      <w:pPr>
        <w:spacing w:after="120"/>
        <w:jc w:val="both"/>
      </w:pPr>
      <w:r>
        <w:rPr>
          <w:rFonts w:ascii="Arial" w:cs="Arial" w:eastAsia="Arial" w:hAnsi="Arial"/>
          <w:sz w:val="24"/>
          <w:szCs w:val="24"/>
        </w:rPr>
        <w:t xml:space="preserve">- производить оценку их воздействия на экономическое развитие страны.</w:t>
      </w:r>
    </w:p>
    <w:p>
      <w:pPr>
        <w:spacing w:after="120"/>
        <w:jc w:val="both"/>
      </w:pPr>
      <w:r>
        <w:rPr>
          <w:rFonts w:ascii="Arial" w:cs="Arial" w:eastAsia="Arial" w:hAnsi="Arial"/>
          <w:sz w:val="24"/>
          <w:szCs w:val="24"/>
        </w:rPr>
        <w:t xml:space="preserve">9. План мероприятий по реализации Основных направлений</w:t>
      </w:r>
    </w:p>
    <w:p>
      <w:pPr>
        <w:spacing w:after="120"/>
        <w:jc w:val="both"/>
      </w:pPr>
      <w:r>
        <w:rPr>
          <w:rFonts w:ascii="Arial" w:cs="Arial" w:eastAsia="Arial" w:hAnsi="Arial"/>
          <w:sz w:val="24"/>
          <w:szCs w:val="24"/>
        </w:rPr>
        <w:t xml:space="preserve">В целях практической реализации Основных направлений будет разработан и утвержден План мероприятий, предусматривающий конкретные меры, определены ответственные исполнители, источники финансирования и сроки их выполнения.</w:t>
      </w:r>
    </w:p>
    <w:p>
      <w:pPr>
        <w:spacing w:after="120"/>
        <w:jc w:val="both"/>
      </w:pPr>
      <w:r>
        <w:rPr>
          <w:rFonts w:ascii="Arial" w:cs="Arial" w:eastAsia="Arial" w:hAnsi="Arial"/>
          <w:sz w:val="24"/>
          <w:szCs w:val="24"/>
        </w:rPr>
        <w:t xml:space="preserve">План мероприятий будет осуществляться путем поэтапной его реализации (2015-2016 годы - первый этап и 2016-2017 годы - второй этап).</w:t>
      </w:r>
    </w:p>
    <w:p>
      <w:pPr>
        <w:spacing w:after="120"/>
        <w:jc w:val="both"/>
      </w:pPr>
      <w:r>
        <w:rPr>
          <w:rFonts w:ascii="Arial" w:cs="Arial" w:eastAsia="Arial" w:hAnsi="Arial"/>
          <w:sz w:val="24"/>
          <w:szCs w:val="24"/>
        </w:rPr>
        <w:t xml:space="preserve">Уполномоченным государственным органом будет проводиться мониторинг реализации Плана мероприятий и на их основе вноситься соответствующие рекомендации.</w:t>
      </w:r>
    </w:p>
    <w:p>
      <w:pPr>
        <w:spacing w:after="120"/>
        <w:jc w:val="both"/>
      </w:pPr>
      <w:r>
        <w:rPr>
          <w:rFonts w:ascii="Arial" w:cs="Arial" w:eastAsia="Arial" w:hAnsi="Arial"/>
          <w:sz w:val="24"/>
          <w:szCs w:val="24"/>
        </w:rPr>
        <w:t xml:space="preserve">На основании полученных результатов будут приниматься оперативные решения по выработке альтернативных возможностей, с последующими шагами их реализации, перераспределению ресурсов и их оптимальному использованию, улучшению координации усилий с донорским сообществом.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hfauqbtnrixahtar75yw">
      <w:r>
        <w:rPr>
          <w:rFonts w:ascii="Arial" w:cs="Arial" w:eastAsia="Arial" w:hAnsi="Arial"/>
          <w:color w:val="132D3F"/>
          <w:sz w:val="16"/>
          <w:szCs w:val="16"/>
          <w:u w:val="single"/>
        </w:rPr>
        <w:t xml:space="preserve">dalil.kg/document/97868</w:t>
      </w:r>
    </w:hyperlink>
  </w:p>
  <w:p>
    <w:pPr>
      <w:spacing w:after="0" w:before="40"/>
      <w:jc w:val="center"/>
    </w:pPr>
    <w:hyperlink w:history="1" r:id="rId2b8blh306ucfe1ljabx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iwzvc7eok7vljnsgozs" Type="http://schemas.openxmlformats.org/officeDocument/2006/relationships/hyperlink" Target="https://dalil.kg/document/11941" TargetMode="External"/><Relationship Id="rId85cao284vl2wzltzxabig" Type="http://schemas.openxmlformats.org/officeDocument/2006/relationships/hyperlink" Target="https://dalil.kg/document/61542" TargetMode="External"/><Relationship Id="rId3vjyuxqh-o-qxmupmnzei" Type="http://schemas.openxmlformats.org/officeDocument/2006/relationships/hyperlink" Target="https://dalil.kg/document/61526" TargetMode="External"/><Relationship Id="rIdlm16mkz6dyklukng2ggiv" Type="http://schemas.openxmlformats.org/officeDocument/2006/relationships/hyperlink" Target="https://dalil.kg/document/203685" TargetMode="External"/><Relationship Id="rIdxm-w0xmpk1sqbkqh4g6fm" Type="http://schemas.openxmlformats.org/officeDocument/2006/relationships/hyperlink" Target="https://dalil.kg/document/97868#p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hfauqbtnrixahtar75yw" Type="http://schemas.openxmlformats.org/officeDocument/2006/relationships/hyperlink" Target="https://dalil.kg/document/97868" TargetMode="External"/><Relationship Id="rId2b8blh306ucfe1ljabx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2026-09-24T10:13:15.435Z</dcterms:created>
  <dcterms:modified xsi:type="dcterms:W3CDTF">2026-09-24T10:13:15.435Z</dcterms:modified>
</cp:coreProperties>
</file>

<file path=docProps/custom.xml><?xml version="1.0" encoding="utf-8"?>
<Properties xmlns="http://schemas.openxmlformats.org/officeDocument/2006/custom-properties" xmlns:vt="http://schemas.openxmlformats.org/officeDocument/2006/docPropsVTypes"/>
</file>