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dwyh6eandurq99bjvn0c8">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июля 2015 года № 513</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2014 год</w:t>
      </w:r>
    </w:p>
    <w:p>
      <w:pPr>
        <w:spacing w:after="120"/>
        <w:jc w:val="both"/>
      </w:pPr>
      <w:r>
        <w:rPr>
          <w:rFonts w:ascii="Arial" w:cs="Arial" w:eastAsia="Arial" w:hAnsi="Arial"/>
          <w:sz w:val="24"/>
          <w:szCs w:val="24"/>
        </w:rPr>
        <w:t xml:space="preserve">В соответствии со статьей 5 </w:t>
      </w:r>
      <w:hyperlink w:history="1" r:id="rIdymcsvekzotdfo7v2nhpa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отчет об исполнении бюджета Социального фонда Кыргызской Республики за 2014 год согласно </w:t>
      </w:r>
      <w:hyperlink w:history="1" r:id="rIdvc7yoi6eggnogojzrnbz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отчет на утверждение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ОТЧЕТ
 об исполнении бюджета Социального фонда Кыргызской Республики за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Социальным фондом Кыргызской Республики (далее - Социальный фонд) по итогам 2014 года собрано страховых взносов в сумме 22052566,9 тыс. сомов при плане 21917228,0 тыс. сомов, т.е. план выполнен на 100,6 процента. По сравнению с 2013 годом рост сбора страховых взносов составил 107,8 процента, в суммарном выражении на 1603442,3 тыс. сомов больше. Из общей суммы страховых взносов 20817969,0 тыс. сомов являются текущими платежами и 1234597,9 тыс. сомов - поступлением просроченных задолженностей за прошлые годы.</w:t>
      </w:r>
    </w:p>
    <w:p>
      <w:pPr>
        <w:spacing w:after="120"/>
        <w:jc w:val="both"/>
      </w:pPr>
      <w:r>
        <w:rPr>
          <w:rFonts w:ascii="Arial" w:cs="Arial" w:eastAsia="Arial" w:hAnsi="Arial"/>
          <w:sz w:val="24"/>
          <w:szCs w:val="24"/>
        </w:rPr>
        <w:t xml:space="preserve">Обязательные ассигнования из республиканского бюджета поступили в сумме 15322700,0 тыс. сомов. Кроме того, погашена задолженность республиканского бюджета перед Социальным фондом за 2013 год в сумме 214380,0 тыс. сомов.</w:t>
      </w:r>
    </w:p>
    <w:p>
      <w:pPr>
        <w:spacing w:after="120"/>
        <w:jc w:val="both"/>
      </w:pPr>
      <w:r>
        <w:rPr>
          <w:rFonts w:ascii="Arial" w:cs="Arial" w:eastAsia="Arial" w:hAnsi="Arial"/>
          <w:sz w:val="24"/>
          <w:szCs w:val="24"/>
        </w:rPr>
        <w:t xml:space="preserve">В 2014 году Социальным фондом от размещения свободных денежных средств на срочные депозитные счета в коммерческих банках Кыргызской Республики, от пени и штрафов, дивидендов, процентов на ежедневные остатки на счетах Социального фонда и от других источников получен доход в сумме 252581,4 тыс. сомов.</w:t>
      </w:r>
    </w:p>
    <w:p>
      <w:pPr>
        <w:spacing w:after="120"/>
        <w:jc w:val="both"/>
      </w:pPr>
      <w:r>
        <w:rPr>
          <w:rFonts w:ascii="Arial" w:cs="Arial" w:eastAsia="Arial" w:hAnsi="Arial"/>
          <w:sz w:val="24"/>
          <w:szCs w:val="24"/>
        </w:rPr>
        <w:t xml:space="preserve">Расходы Социального фонда в 2014 году составили 37607215,6 тыс. сомов, в том числе:</w:t>
      </w:r>
    </w:p>
    <w:p>
      <w:pPr>
        <w:spacing w:after="120"/>
        <w:jc w:val="both"/>
      </w:pPr>
      <w:r>
        <w:rPr>
          <w:rFonts w:ascii="Arial" w:cs="Arial" w:eastAsia="Arial" w:hAnsi="Arial"/>
          <w:sz w:val="24"/>
          <w:szCs w:val="24"/>
        </w:rPr>
        <w:t xml:space="preserve">- Пенсионного фонда - 34614806,1 тыс. сомов;</w:t>
      </w:r>
    </w:p>
    <w:p>
      <w:pPr>
        <w:spacing w:after="120"/>
        <w:jc w:val="both"/>
      </w:pPr>
      <w:r>
        <w:rPr>
          <w:rFonts w:ascii="Arial" w:cs="Arial" w:eastAsia="Arial" w:hAnsi="Arial"/>
          <w:sz w:val="24"/>
          <w:szCs w:val="24"/>
        </w:rPr>
        <w:t xml:space="preserve">- Фонда обязательного медицинского страхования - 1717394,2 тыс. сомов;</w:t>
      </w:r>
    </w:p>
    <w:p>
      <w:pPr>
        <w:spacing w:after="120"/>
        <w:jc w:val="both"/>
      </w:pPr>
      <w:r>
        <w:rPr>
          <w:rFonts w:ascii="Arial" w:cs="Arial" w:eastAsia="Arial" w:hAnsi="Arial"/>
          <w:sz w:val="24"/>
          <w:szCs w:val="24"/>
        </w:rPr>
        <w:t xml:space="preserve">- Фонда оздоровления трудящихся - 213194,3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- 1061821,0 тыс. сомов.</w:t>
      </w:r>
    </w:p>
    <w:p>
      <w:pPr>
        <w:spacing w:after="120"/>
        <w:jc w:val="both"/>
      </w:pPr>
      <w:r>
        <w:rPr>
          <w:rFonts w:ascii="Arial" w:cs="Arial" w:eastAsia="Arial" w:hAnsi="Arial"/>
          <w:sz w:val="24"/>
          <w:szCs w:val="24"/>
        </w:rPr>
        <w:t xml:space="preserve">В 2014 году за счет повышения размеров пенсий и пособий расходы Пенсионного фонда против 2013 года возросли на 3120336,6 тыс. сомов и составили 34614806,1 тыс. сомов.</w:t>
      </w:r>
    </w:p>
    <w:p>
      <w:pPr>
        <w:spacing w:after="120"/>
        <w:jc w:val="both"/>
      </w:pPr>
      <w:r>
        <w:rPr>
          <w:rFonts w:ascii="Arial" w:cs="Arial" w:eastAsia="Arial" w:hAnsi="Arial"/>
          <w:sz w:val="24"/>
          <w:szCs w:val="24"/>
        </w:rPr>
        <w:t xml:space="preserve">В целях обеспечения жизненного уровня пенсионеров с 1 октября страховые части пенсий повышены на 250 сомов, размеры пенсий по инвалидности 1 группы, размер которых не превышает 4400 сомов, доведены до 4400 сомов, размер которых превышает 4400 сомов, были повышены на 300 сомов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повышении страховых частей пенсий с 1 октября 2014 года" от 1 октября 2014 года № 564).</w:t>
      </w:r>
    </w:p>
    <w:p>
      <w:pPr>
        <w:spacing w:after="120"/>
        <w:jc w:val="both"/>
      </w:pPr>
      <w:r>
        <w:rPr>
          <w:rFonts w:ascii="Arial" w:cs="Arial" w:eastAsia="Arial" w:hAnsi="Arial"/>
          <w:sz w:val="24"/>
          <w:szCs w:val="24"/>
        </w:rPr>
        <w:t xml:space="preserve">Потребность в средствах на повышение пенсий с 1 октября 2014 года составила 450139,0 тыс. сомов из средств Пенсионного фонда.</w:t>
      </w:r>
    </w:p>
    <w:p>
      <w:pPr>
        <w:spacing w:after="120"/>
        <w:jc w:val="both"/>
      </w:pPr>
      <w:r>
        <w:rPr>
          <w:rFonts w:ascii="Arial" w:cs="Arial" w:eastAsia="Arial" w:hAnsi="Arial"/>
          <w:sz w:val="24"/>
          <w:szCs w:val="24"/>
        </w:rPr>
        <w:t xml:space="preserve">По итогам 2014 года средний размер пенсии составил 4562 сома, соотношение среднего размера пенсии к прожиточному минимуму пенсионера составило 102,9 процента.</w:t>
      </w:r>
    </w:p>
    <w:p>
      <w:pPr>
        <w:spacing w:after="120"/>
        <w:jc w:val="both"/>
      </w:pPr>
      <w:r>
        <w:rPr>
          <w:rFonts w:ascii="Arial" w:cs="Arial" w:eastAsia="Arial" w:hAnsi="Arial"/>
          <w:sz w:val="24"/>
          <w:szCs w:val="24"/>
        </w:rPr>
        <w:t xml:space="preserve">По состоянию на 1 января 2015 года, количество получателей пенсий по республике составило 590,3 тыс. человек, из них через филиалы Государственного предприятия "Кыргызпочтасы" составляет 390,6 тыс. человек, или 66,2 процента от общего количества пенсионеров, через коммерческие банки республики - 199,7 тыс. человек, или 33,8 процента.</w:t>
      </w:r>
    </w:p>
    <w:p>
      <w:pPr>
        <w:spacing w:after="120"/>
        <w:jc w:val="both"/>
      </w:pPr>
      <w:r>
        <w:rPr>
          <w:rFonts w:ascii="Arial" w:cs="Arial" w:eastAsia="Arial" w:hAnsi="Arial"/>
          <w:sz w:val="24"/>
          <w:szCs w:val="24"/>
        </w:rPr>
        <w:t xml:space="preserve">По состоянию на 1 января 2015 года, вся потребная сумма на выплату пенсий, с учетом компенсационных выплат за электроэнергию, в объеме 31466713,6 тыс. сомов профинансирована полностью.</w:t>
      </w:r>
    </w:p>
    <w:p>
      <w:pPr>
        <w:spacing w:after="120"/>
        <w:jc w:val="both"/>
      </w:pPr>
      <w:r>
        <w:rPr>
          <w:rFonts w:ascii="Arial" w:cs="Arial" w:eastAsia="Arial" w:hAnsi="Arial"/>
          <w:sz w:val="24"/>
          <w:szCs w:val="24"/>
        </w:rPr>
        <w:t xml:space="preserve">В 2014 году размер пособия на погребение составил 15000 сомов, и семьям умерших выплачено 316601,1 тыс. сомов.</w:t>
      </w:r>
    </w:p>
    <w:p>
      <w:pPr>
        <w:spacing w:after="120"/>
        <w:jc w:val="both"/>
      </w:pPr>
      <w:r>
        <w:rPr>
          <w:rFonts w:ascii="Arial" w:cs="Arial" w:eastAsia="Arial" w:hAnsi="Arial"/>
          <w:sz w:val="24"/>
          <w:szCs w:val="24"/>
        </w:rPr>
        <w:t xml:space="preserve">В 2014 году финансирование Фонда обязательного медицинского страхования осуществлено в сумме 1717394,2 тыс. сомов.</w:t>
      </w:r>
    </w:p>
    <w:p>
      <w:pPr>
        <w:spacing w:after="120"/>
        <w:jc w:val="both"/>
      </w:pPr>
      <w:r>
        <w:rPr>
          <w:rFonts w:ascii="Arial" w:cs="Arial" w:eastAsia="Arial" w:hAnsi="Arial"/>
          <w:sz w:val="24"/>
          <w:szCs w:val="24"/>
        </w:rPr>
        <w:t xml:space="preserve">Исполнение по Фонду оздоровления трудящихся составило 213194,3 тыс. сомов, в том числе исполнено Решение межрайонного суда Джалал-Абадской области о произведении взаимозачета от 6 февраля 2014 года в сумме 2480,0 тыс. сомов.</w:t>
      </w:r>
    </w:p>
    <w:p>
      <w:pPr>
        <w:spacing w:after="120"/>
        <w:jc w:val="both"/>
      </w:pPr>
      <w:r>
        <w:rPr>
          <w:rFonts w:ascii="Arial" w:cs="Arial" w:eastAsia="Arial" w:hAnsi="Arial"/>
          <w:sz w:val="24"/>
          <w:szCs w:val="24"/>
        </w:rPr>
        <w:t xml:space="preserve">Всего за 2014 год из средств Государственного накопительного пенсионного фонда инвестировано с учетом ранее поступивших страховых взносов 5144890,0 тыс. сомов. Из них, в соответствии с законодательством Кыргызской Республики, средства пенсионных накоплений были размещены в государственные ценные бумаги по результатам аукционов, проводимых Национальным банком Кыргызской Республики, на сумму 2914890,0 тыс. сомов.</w:t>
      </w:r>
    </w:p>
    <w:p>
      <w:pPr>
        <w:spacing w:after="120"/>
        <w:jc w:val="both"/>
      </w:pPr>
      <w:r>
        <w:rPr>
          <w:rFonts w:ascii="Arial" w:cs="Arial" w:eastAsia="Arial" w:hAnsi="Arial"/>
          <w:sz w:val="24"/>
          <w:szCs w:val="24"/>
        </w:rPr>
        <w:t xml:space="preserve">По результатам депозитных аукционов, проводимых Социальным фондом, в коммерческих банках размещены средства пенсионных накоплений на сумму 2230000,0 тыс. сомов. Срок размещения по данным депозитам составляет 1 год с доходностью от 12,05 до 20,10 процента.</w:t>
      </w:r>
    </w:p>
    <w:p>
      <w:pPr>
        <w:spacing w:after="120"/>
        <w:jc w:val="both"/>
      </w:pPr>
      <w:r>
        <w:rPr>
          <w:rFonts w:ascii="Arial" w:cs="Arial" w:eastAsia="Arial" w:hAnsi="Arial"/>
          <w:sz w:val="24"/>
          <w:szCs w:val="24"/>
        </w:rPr>
        <w:t xml:space="preserve">В 2014 году доходы по инвестированию средств Государственного накопительного пенсионного фонда, с учетом размещенных средств за предыдущие годы, составили 651757,6 тыс. сомов, что на 30793,3 тыс. сомов выше предусмотренных бюджетом.</w:t>
      </w:r>
    </w:p>
    <w:p>
      <w:pPr>
        <w:spacing w:after="120"/>
        <w:jc w:val="both"/>
      </w:pPr>
      <w:r>
        <w:rPr>
          <w:rFonts w:ascii="Arial" w:cs="Arial" w:eastAsia="Arial" w:hAnsi="Arial"/>
          <w:sz w:val="24"/>
          <w:szCs w:val="24"/>
        </w:rPr>
        <w:t xml:space="preserve">В 2014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2015 года, составило 5110,2 тыс. человек, или 96,9 процента от всего населения республики. С начала 2014 года количество зарегистрированных граждан в системе персонифицированного учета составило 97,3 тыс. человек.</w:t>
      </w:r>
    </w:p>
    <w:p>
      <w:pPr>
        <w:spacing w:after="120"/>
        <w:jc w:val="both"/>
      </w:pPr>
      <w:r>
        <w:rPr>
          <w:rFonts w:ascii="Arial" w:cs="Arial" w:eastAsia="Arial" w:hAnsi="Arial"/>
          <w:sz w:val="24"/>
          <w:szCs w:val="24"/>
        </w:rPr>
        <w:t xml:space="preserve">В 2014 году обработаны в системе персонифицированного учета заявления на социальную защиту и выданы удостоверения социальной защиты 337,5 тыс. граждан. Из них число вновь зарегистрированных в системе персонифицированного учета граждан составляет 140,8 тыс. человек, в том числе 34,8 тыс. новорожденных граждан Кыргызской Республики.</w:t>
      </w:r>
    </w:p>
    <w:p>
      <w:pPr>
        <w:spacing w:after="120"/>
        <w:jc w:val="both"/>
      </w:pPr>
      <w:r>
        <w:rPr>
          <w:rFonts w:ascii="Arial" w:cs="Arial" w:eastAsia="Arial" w:hAnsi="Arial"/>
          <w:sz w:val="24"/>
          <w:szCs w:val="24"/>
        </w:rPr>
        <w:t xml:space="preserve">Кроме того, всего зарегистрировано в системе персонифицированного учета 102,9 тыс. трудовых мигрантов. В 2014 году зарегистрировано 4,1 тыс. граждан Кыргызской Республики, временно проживающих в Российской Федерации, в Республике Казахстан и других странах.</w:t>
      </w:r>
    </w:p>
    <w:p>
      <w:pPr>
        <w:spacing w:after="120"/>
        <w:jc w:val="both"/>
      </w:pPr>
      <w:r>
        <w:rPr>
          <w:rFonts w:ascii="Arial" w:cs="Arial" w:eastAsia="Arial" w:hAnsi="Arial"/>
          <w:sz w:val="24"/>
          <w:szCs w:val="24"/>
        </w:rPr>
        <w:t xml:space="preserve">Бюджет Социального фонда на 2014 год был утвержден с профицитом в сумме 614008,1 тыс. сомов, по итогам исполнения бюджета за 2014 год профицит бюджета составил 1007763,8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отчету об исполнении бюджета Социального фонда Кыргызской Республики за 2014 год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9"/>
        <w:gridCol w:w="778"/>
        <w:gridCol w:w="1293"/>
        <w:gridCol w:w="2078"/>
      </w:tblGrid>
      <w:tr>
        <w:tc>
          <w:tcPr>
            <w:tcW w:type="dxa" w:w="6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2014 год</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2014 год</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r>
              <w:rPr>
                <w:rFonts w:ascii="Arial" w:cs="Arial" w:eastAsia="Arial" w:hAnsi="Arial"/>
                <w:sz w:val="24"/>
                <w:szCs w:val="24"/>
              </w:rPr>
              <w:t xml:space="preserve"> (позиции 3+29+39+51)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38465099,7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38614979,4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35462584,6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35565873,2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Остаток на начало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627992,6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627992,6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19059471,4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19148219,2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10962307,9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10350695,2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6515996,1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7069298,2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171770,0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149029,8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353496,5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477333,3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8208,2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8074,7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1017600,0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1065526,5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Прочие доходы,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238040,6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252581,4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117037,7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115943,8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42810,6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72573,5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размещения временно свободных денежных средств в ГЦБ, ноты НБКР, на краткосрочные депозиты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3473,2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поступления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7018,0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Поступления из республиканского бюджета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15322700,0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15322700,0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8065188,3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8065188</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на электроэнергию с учетом доставки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1832521,4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1832521,4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и надбавки к пенсиям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3591506,4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3591506,4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Погашение задолженности республиканского бюджета за 2013 год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214380,0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214380,0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Фонд обязательного медицинского страхования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1750612,0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1592190,0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1625407,8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910440,0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879671,5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536120,0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607139,2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2724,0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30397,0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93243,8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Погашение задолженности за 2011-2012 годы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125204,2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125204,2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Фонд оздоровления трудящихся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236673,2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193640,0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217118,9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113780,0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111623,4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66930,0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85261,7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6925,7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11642,3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Погашение задолженности за 2011-2012 годы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19554,3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19554,3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Государственный накопительный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6333227,8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6353915,5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Средства пенсионных накоплений на начало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4640336,9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4640336,9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1071926,6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1061821,0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664549,1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645001,3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309892,0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336569,0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9476,8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14474,5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64185,3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Доходы от инвестирования за отчетный период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620964,3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651757,6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r>
              <w:rPr>
                <w:rFonts w:ascii="Arial" w:cs="Arial" w:eastAsia="Arial" w:hAnsi="Arial"/>
                <w:sz w:val="24"/>
                <w:szCs w:val="24"/>
              </w:rPr>
              <w:t xml:space="preserve"> (позиции 62+78+83+88)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37851091,6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37607215,6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34848576,5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34614806,1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29710763,2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29696944,4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на электроэнергию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1812582,9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1769769,2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1671498,5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19462,1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316601,1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назначению и доставке пенсий и пособий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335512,3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316691,5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за обслуживание счетов Социального фонда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16866,7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персонифицированному учету</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административно-управленческие расходы Социального фонда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625359,0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624601,3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9429,4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28494,0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членских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погашение задолженности перед ФОМС</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125204,2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125204,2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погашение задолженности перед ФОТ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Фонд обязательного медицинского страхования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медицинских услуг</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1587394</w:t>
            </w:r>
            <w:r>
              <w:rPr>
                <w:rFonts w:ascii="Arial" w:cs="Arial" w:eastAsia="Arial" w:hAnsi="Arial"/>
                <w:sz w:val="24"/>
                <w:szCs w:val="24"/>
              </w:rPr>
              <w:t xml:space="preserve">,</w:t>
            </w:r>
            <w:r>
              <w:rPr>
                <w:rFonts w:ascii="Arial" w:cs="Arial" w:eastAsia="Arial" w:hAnsi="Arial"/>
                <w:sz w:val="24"/>
                <w:szCs w:val="24"/>
              </w:rPr>
              <w:t xml:space="preserve">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1587394,2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информационное обеспечение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 здравоохранения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Фонд оздоровления трудящихся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и отдых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138576</w:t>
            </w:r>
            <w:r>
              <w:rPr>
                <w:rFonts w:ascii="Arial" w:cs="Arial" w:eastAsia="Arial" w:hAnsi="Arial"/>
                <w:sz w:val="24"/>
                <w:szCs w:val="24"/>
              </w:rPr>
              <w:t xml:space="preserve">,</w:t>
            </w: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142766</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оздоровление в санаториях-профилакториях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10659</w:t>
            </w:r>
            <w:r>
              <w:rPr>
                <w:rFonts w:ascii="Arial" w:cs="Arial" w:eastAsia="Arial" w:hAnsi="Arial"/>
                <w:sz w:val="24"/>
                <w:szCs w:val="24"/>
              </w:rPr>
              <w:t xml:space="preserve">,</w:t>
            </w:r>
            <w:r>
              <w:rPr>
                <w:rFonts w:ascii="Arial" w:cs="Arial" w:eastAsia="Arial" w:hAnsi="Arial"/>
                <w:sz w:val="24"/>
                <w:szCs w:val="24"/>
              </w:rPr>
              <w:t xml:space="preserve">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12791</w:t>
            </w:r>
            <w:r>
              <w:rPr>
                <w:rFonts w:ascii="Arial" w:cs="Arial" w:eastAsia="Arial" w:hAnsi="Arial"/>
                <w:sz w:val="24"/>
                <w:szCs w:val="24"/>
              </w:rPr>
              <w:t xml:space="preserve">,</w:t>
            </w:r>
            <w:r>
              <w:rPr>
                <w:rFonts w:ascii="Arial" w:cs="Arial" w:eastAsia="Arial" w:hAnsi="Arial"/>
                <w:sz w:val="24"/>
                <w:szCs w:val="24"/>
              </w:rPr>
              <w:t xml:space="preserve">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оздоровление в детских оздоровительных центрах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57562,5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54215</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организационно-административные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r>
              <w:rPr>
                <w:rFonts w:ascii="Arial" w:cs="Arial" w:eastAsia="Arial" w:hAnsi="Arial"/>
                <w:sz w:val="24"/>
                <w:szCs w:val="24"/>
              </w:rPr>
              <w:t xml:space="preserve">,</w:t>
            </w:r>
            <w:r>
              <w:rPr>
                <w:rFonts w:ascii="Arial" w:cs="Arial" w:eastAsia="Arial" w:hAnsi="Arial"/>
                <w:sz w:val="24"/>
                <w:szCs w:val="24"/>
              </w:rPr>
              <w:t xml:space="preserve">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r>
              <w:rPr>
                <w:rFonts w:ascii="Arial" w:cs="Arial" w:eastAsia="Arial" w:hAnsi="Arial"/>
                <w:sz w:val="24"/>
                <w:szCs w:val="24"/>
              </w:rPr>
              <w:t xml:space="preserve">,</w:t>
            </w:r>
            <w:r>
              <w:rPr>
                <w:rFonts w:ascii="Arial" w:cs="Arial" w:eastAsia="Arial" w:hAnsi="Arial"/>
                <w:sz w:val="24"/>
                <w:szCs w:val="24"/>
              </w:rPr>
              <w:t xml:space="preserve">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Государственный накопительный пенсионный фонд (ГНПФ)</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1071926,6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061821,0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выплату накопительной части 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196851,7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89409</w:t>
            </w:r>
            <w:r>
              <w:rPr>
                <w:rFonts w:ascii="Arial" w:cs="Arial" w:eastAsia="Arial" w:hAnsi="Arial"/>
                <w:sz w:val="24"/>
                <w:szCs w:val="24"/>
              </w:rPr>
              <w:t xml:space="preserve">,</w:t>
            </w:r>
            <w:r>
              <w:rPr>
                <w:rFonts w:ascii="Arial" w:cs="Arial" w:eastAsia="Arial" w:hAnsi="Arial"/>
                <w:sz w:val="24"/>
                <w:szCs w:val="24"/>
              </w:rPr>
              <w:t xml:space="preserve">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инвестированием и администрированием средств ГНПФ</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10719</w:t>
            </w:r>
            <w:r>
              <w:rPr>
                <w:rFonts w:ascii="Arial" w:cs="Arial" w:eastAsia="Arial" w:hAnsi="Arial"/>
                <w:sz w:val="24"/>
                <w:szCs w:val="24"/>
              </w:rPr>
              <w:t xml:space="preserve">,</w:t>
            </w: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направляемые на инвестирование в текущем году (позиции 51-89-90)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864355</w:t>
            </w:r>
            <w:r>
              <w:rPr>
                <w:rFonts w:ascii="Arial" w:cs="Arial" w:eastAsia="Arial" w:hAnsi="Arial"/>
                <w:sz w:val="24"/>
                <w:szCs w:val="24"/>
              </w:rPr>
              <w:t xml:space="preserve">,</w:t>
            </w:r>
            <w:r>
              <w:rPr>
                <w:rFonts w:ascii="Arial" w:cs="Arial" w:eastAsia="Arial" w:hAnsi="Arial"/>
                <w:sz w:val="24"/>
                <w:szCs w:val="24"/>
              </w:rPr>
              <w:t xml:space="preserve">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970756</w:t>
            </w:r>
            <w:r>
              <w:rPr>
                <w:rFonts w:ascii="Arial" w:cs="Arial" w:eastAsia="Arial" w:hAnsi="Arial"/>
                <w:sz w:val="24"/>
                <w:szCs w:val="24"/>
              </w:rPr>
              <w:t xml:space="preserve">,</w:t>
            </w:r>
            <w:r>
              <w:rPr>
                <w:rFonts w:ascii="Arial" w:cs="Arial" w:eastAsia="Arial" w:hAnsi="Arial"/>
                <w:sz w:val="24"/>
                <w:szCs w:val="24"/>
              </w:rPr>
              <w:t xml:space="preserve">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Дефицит (-), профицит (+)</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614008,1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007763,8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Государственного накопительного пенсионного фонда на конец года (позиции 49-89-90)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6125656</w:t>
            </w:r>
            <w:r>
              <w:rPr>
                <w:rFonts w:ascii="Arial" w:cs="Arial" w:eastAsia="Arial" w:hAnsi="Arial"/>
                <w:sz w:val="24"/>
                <w:szCs w:val="24"/>
              </w:rPr>
              <w:t xml:space="preserve">,</w:t>
            </w:r>
            <w:r>
              <w:rPr>
                <w:rFonts w:ascii="Arial" w:cs="Arial" w:eastAsia="Arial" w:hAnsi="Arial"/>
                <w:sz w:val="24"/>
                <w:szCs w:val="24"/>
              </w:rPr>
              <w:t xml:space="preserve">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6262851</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388813700,0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397277</w:t>
            </w:r>
            <w:r>
              <w:rPr>
                <w:rFonts w:ascii="Arial" w:cs="Arial" w:eastAsia="Arial" w:hAnsi="Arial"/>
                <w:b/>
                <w:bCs/>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6ffxbqcoiards3mckq4q">
      <w:r>
        <w:rPr>
          <w:rFonts w:ascii="Arial" w:cs="Arial" w:eastAsia="Arial" w:hAnsi="Arial"/>
          <w:color w:val="132D3F"/>
          <w:sz w:val="16"/>
          <w:szCs w:val="16"/>
          <w:u w:val="single"/>
        </w:rPr>
        <w:t xml:space="preserve">dalil.kg/document/97888</w:t>
      </w:r>
    </w:hyperlink>
  </w:p>
  <w:p>
    <w:pPr>
      <w:spacing w:after="0" w:before="40"/>
      <w:jc w:val="center"/>
    </w:pPr>
    <w:hyperlink w:history="1" r:id="rIdfbf0kp2yzc8igsz5hd0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yh6eandurq99bjvn0c8" Type="http://schemas.openxmlformats.org/officeDocument/2006/relationships/hyperlink" Target="https://dalil.kg/document/158975" TargetMode="External"/><Relationship Id="rIdymcsvekzotdfo7v2nhpal" Type="http://schemas.openxmlformats.org/officeDocument/2006/relationships/hyperlink" Target="https://dalil.kg/document/1502" TargetMode="External"/><Relationship Id="rIdvc7yoi6eggnogojzrnbzv" Type="http://schemas.openxmlformats.org/officeDocument/2006/relationships/hyperlink" Target="https://dalil.kg/document/9788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6ffxbqcoiards3mckq4q" Type="http://schemas.openxmlformats.org/officeDocument/2006/relationships/hyperlink" Target="https://dalil.kg/document/97888" TargetMode="External"/><Relationship Id="rIdfbf0kp2yzc8igsz5hd0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2026-09-24T13:59:50.361Z</dcterms:created>
  <dcterms:modified xsi:type="dcterms:W3CDTF">2026-09-24T13:59:50.361Z</dcterms:modified>
</cp:coreProperties>
</file>

<file path=docProps/custom.xml><?xml version="1.0" encoding="utf-8"?>
<Properties xmlns="http://schemas.openxmlformats.org/officeDocument/2006/custom-properties" xmlns:vt="http://schemas.openxmlformats.org/officeDocument/2006/docPropsVTypes"/>
</file>