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ipnu2trjgodwf_6qyy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munx5imns_noa1dtjh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4rbponlocsppgv4l7w1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Никитенко Н.В., Исаевым Ж.К., Акназаровой Р.К., Бекешевым Д.Д., Кочкоровым У.Т., Калмаматовым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ieyam6ngafkbgrnsiln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сентября 2015 года № 647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Никитенко Н.В., Исаевым Ж.К., Акназаровой Р.К., Бекешевым Д.Д., Кочкоровым У.Т., Калмаматовым А.А.,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предлагается внести поправки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электрической и почтовой связи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лицензионно-разрешительной системе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телевидении и радиовещании</w:t>
      </w:r>
      <w:r>
        <w:rPr>
          <w:rFonts w:ascii="Arial" w:cs="Arial" w:eastAsia="Arial" w:hAnsi="Arial"/>
          <w:sz w:val="24"/>
          <w:szCs w:val="24"/>
        </w:rPr>
        <w:t xml:space="preserve">", в целях создания правовых условий для успешного перехода на цифровое вещание, создания благоприятной нормативной правовой базы для развития рынка цифрового вещания с учетом новых технологий, которые позволят расширить услуги и повысить их конкурентоспособность, а также создать условия для развития долгосрочного бизнеса в отрасли телекоммуникаций.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проект перехода на цифровое вещание определен как один из приоритетных национальных проектов. Перед Правительством Кыргызской Республики поставлена задача - не позднее чем в 2017 году обеспечить доступ населения к цифровому телевидению в любой точке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Поддерживая в целом концепцию законопроекта, предлагаем учесть следующие замечания 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1 статьи 1 проекта после слов "цифровой пакет" предлагаем дополнить словом "вещания".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пункту 3 части 1 и частям 3-6 статьи 1 проекта отмечаем, что вопросы лицензирования, выдачи разрешений, а также приостановления или отзыва (аннулирования) разрешений являются предметом регулирования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законодательство о лицензировании основывается на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и иных нормативных правовых актов, регулирующих сферу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следует отметить, что соответствующими государственными органами проводится работа по разработке законопроекта, предусматривающего выведение из-под действия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вопросов лицензирования деятельности в области электрической связи, а также использования радиочастотного спектра для оказания услуг электрической связи и (или) передачи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абзаца десятого части 3 и абзаца девятого части 8 статьи 1, абзаца второго части 7 статьи 2 проекта предлагаем привести в соответствие с нормами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согласно которой вступившие в установленном законом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третьим пункта 9 части 1 статьи 1 проекта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абзацем тридцать восьмым, согласно которому частотным присвоением на право эксплуатации радиоэлектронных средств (частотное присвоение) будет являться разрешение, выдаваемое уполномоченным государственным органом по связи, какому-либо радиоэлектронному средству и/или высокочастотному устройству на использование конкретной радиочастоты или радиочастотного канала при определенных условиях, обеспечивающих электромагнитную совместимость.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исходя из своих полномочий,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на законодательном уровне норм, касающихся деятельности, полномочий и функций органов исполнительной власти, подчиненных Правительству Кыргызской Республики, будет противоречить вышеназванным статьям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поправки, внесенные в часть 4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были приняты сравнительно недавно (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6 марта 2015 года № 51), предлагаем пункт 2 части 2 статьи 1 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части 5 статьи 1 проекта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абзац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обязательство по уплате ежегодных плат на развитие отрасли связи, а также плат за использование номиналов и/или полос радиочастот;";".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предлагаемых проектом поправок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предусмотренных статьей 2 проекта, отмечаем, что депутатом Жогорку Кенеша Кыргызской Республики Никитенко Н.В. направлено письмо в адрес Правительства Кыргызской Республики (от 12 июня 2015 года № 6-4540н/15) об исключении из представленного законопроекта внесенных изменений, касающихся норм о возможности проведения торгов (конкурса и аукциона) на радиочастотный спектр.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предлагаем статью 2 представленного проекта дополнить частью 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Часть 4 статьи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регулирования вопросов телерадиовещания, включая порядок выдачи, продления, приостановления, прекращения разрешений, а также контроль, взимание сборов и платежей, определяются законодательством Кыргызской Республики в сфере телевидения и радиовещания.".".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части 4 статьи 3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шестом слова "органами государственной власти"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тридцать втором слова "уполномоченный государственный орган в сфере информационной политики" предлагаем заменить словами "уполномоченный орган в сфере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тридцать четвертый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"пакет вещания" - совокупность теле-, радиоканалов, объединенных в единый пакет, передаваемый по сетям электросвязи. Цифровой пакет вещания может включать также субтитры, телетекст, телегид и другую дополнительную информацию;".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предлагаем часть 15 статьи 3 проекта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Статью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Выдача разрешения на размещение теле-, радиоканалов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теле-, радиоканалов в аналоговом вещании и/или в цифровом пакете вещания, независимо от применяемых технологий, осуществляется на основании разрешения, выдаваемого телерадиоорганизации уполномоченным органом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разрешений на размещение теле-, радиоканалов осуществляется в порядке, определенном Правительством Кыргызской Республики.".".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телевидении и радиовещании", изложенная в части 17 статьи 3 проекта, после слов и цифр "пунктов 1 и 2 статьи 8" предлагаем дополнить словами и цифрами ", части 1 статьи 19".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телевидении и радиовещании", изложенную в части 18 статьи 3 проекта, предлагаем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Операторы телерадиовещания в обязательном порядке размещают в своих пакетах вещания эфирные телеканалы, распространяемые в открытом виде, без полной ретрансляции зарубежных телеканалов на территории действия сети оператора телерадиовещания. При этом данные эфирные телеканалы размещаются в полном и неизменном виде в пакетах вещания оператора в приоритетном порядке в начале всего перечня телерадиоканалов. Исключение составляют операторы эфирного цифрового вещания в стандарте DVB-T2 и спутникового телерадиовещания.".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положения представленного проекта Закона в целом нуждаются в тщательной стилистической и редакционной доработке. В связи с этим предлагаем структуру и содержание проекта Закона привести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Инструкцией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изменений и дополнений в некоторые законодательные акты Кыргызской Республики", с учетом замечаний и предложений, изложенных в настоящем заключении.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pnu2trjgodwf_6qyyth" Type="http://schemas.openxmlformats.org/officeDocument/2006/relationships/hyperlink" Target="http://kodeks.duckdns.org/document/159126" TargetMode="External"/><Relationship Id="rIdmunx5imns_noa1dtjhkrc" Type="http://schemas.openxmlformats.org/officeDocument/2006/relationships/hyperlink" Target="http://kodeks.duckdns.org/document/203685" TargetMode="External"/><Relationship Id="rId4rbponlocsppgv4l7w1ub" Type="http://schemas.openxmlformats.org/officeDocument/2006/relationships/hyperlink" Target="http://kodeks.duckdns.org/document/98021#p1" TargetMode="External"/><Relationship Id="rIdieyam6ngafkbgrnsilno3" Type="http://schemas.openxmlformats.org/officeDocument/2006/relationships/hyperlink" Target="http://kodeks.duckdns.org/document/9802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2026-09-23T04:17:47.514Z</dcterms:created>
  <dcterms:modified xsi:type="dcterms:W3CDTF">2026-09-23T04:17:47.515Z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