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ll5fsuvlsm4u2lz86z0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октября 2015 года № 676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d6q1afkblpkakcgs7fmx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f2xvzksraktdw4_qntbnx">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 инициированный депутатами Жогорку Кенеша Кыргызской Республики Осмоналиевым К.О., Акназаровой Р.К., Тербишалиевым Д.О.,  Жээнбековым Р.Б., Никитенко Н.В. и Султановым М.А.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qqlcxdnoyu18ewvxjo49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2015 года № 676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государственной поддержке технологических парков Кыргызской Республики", инициированный депутатами Жогорку Кенеша Кыргызской Республики Осмоналиевым К.О., Акназаровой Р.К., Тербишалиевым Д.О., Жээнбековым Р.Б., Никитенко Н.В. и Султановым М.А., приходит к следующему заключению.</w:t>
      </w:r>
    </w:p>
    <w:p>
      <w:pPr>
        <w:spacing w:after="60"/>
        <w:ind w:firstLine="567"/>
        <w:jc w:val="both"/>
      </w:pPr>
      <w:r>
        <w:rPr>
          <w:rFonts w:ascii="Arial" w:cs="Arial" w:eastAsia="Arial" w:hAnsi="Arial"/>
          <w:sz w:val="24"/>
          <w:szCs w:val="24"/>
        </w:rPr>
        <w:t xml:space="preserve">По статье 1.</w:t>
      </w:r>
    </w:p>
    <w:p>
      <w:pPr>
        <w:spacing w:after="60"/>
        <w:ind w:firstLine="567"/>
        <w:jc w:val="both"/>
      </w:pPr>
      <w:r>
        <w:rPr>
          <w:rFonts w:ascii="Arial" w:cs="Arial" w:eastAsia="Arial" w:hAnsi="Arial"/>
          <w:sz w:val="24"/>
          <w:szCs w:val="24"/>
        </w:rPr>
        <w:t xml:space="preserve">Согласно статье 1 проекта Закона предметом регулирования проекта является деятельность государства по поддержке технологических парков Кыргызской Республики (далее - технопарк), тогда как целью принятия проекта Закона является создание правовых механизмов для организации, формирования и функционирования технопарков в Кыргызской Республике.</w:t>
      </w:r>
    </w:p>
    <w:p>
      <w:pPr>
        <w:spacing w:after="60"/>
        <w:ind w:firstLine="567"/>
        <w:jc w:val="both"/>
      </w:pPr>
      <w:r>
        <w:rPr>
          <w:rFonts w:ascii="Arial" w:cs="Arial" w:eastAsia="Arial" w:hAnsi="Arial"/>
          <w:sz w:val="24"/>
          <w:szCs w:val="24"/>
        </w:rPr>
        <w:t xml:space="preserve">В этой связи отмечаем несоответствие цели принятия проекта Закона предмету его регулирования.</w:t>
      </w:r>
    </w:p>
    <w:p>
      <w:pPr>
        <w:spacing w:after="60"/>
        <w:ind w:firstLine="567"/>
        <w:jc w:val="both"/>
      </w:pPr>
      <w:r>
        <w:rPr>
          <w:rFonts w:ascii="Arial" w:cs="Arial" w:eastAsia="Arial" w:hAnsi="Arial"/>
          <w:sz w:val="24"/>
          <w:szCs w:val="24"/>
        </w:rPr>
        <w:t xml:space="preserve">При этом отмечаем, что согласно справке-обоснованию к проекту Закона предлагаемый законопроект вносится в пакете с Законом Кыргызской Республики "О технологических парках (технопарках)". Однако проект Закона Кыргызской Республики "О государственной поддержке технологических парков Кыргызской Республики" представлен для изучения без указанного выше проекта Закона.</w:t>
      </w:r>
    </w:p>
    <w:p>
      <w:pPr>
        <w:spacing w:after="60"/>
        <w:ind w:firstLine="567"/>
        <w:jc w:val="both"/>
      </w:pPr>
      <w:r>
        <w:rPr>
          <w:rFonts w:ascii="Arial" w:cs="Arial" w:eastAsia="Arial" w:hAnsi="Arial"/>
          <w:sz w:val="24"/>
          <w:szCs w:val="24"/>
        </w:rPr>
        <w:t xml:space="preserve">По статье 3.</w:t>
      </w:r>
    </w:p>
    <w:p>
      <w:pPr>
        <w:spacing w:after="60"/>
        <w:ind w:firstLine="567"/>
        <w:jc w:val="both"/>
      </w:pPr>
      <w:r>
        <w:rPr>
          <w:rFonts w:ascii="Arial" w:cs="Arial" w:eastAsia="Arial" w:hAnsi="Arial"/>
          <w:sz w:val="24"/>
          <w:szCs w:val="24"/>
        </w:rPr>
        <w:t xml:space="preserve">Статью 3 проекта Закона, где даны понятия "инновации" и "инновационная деятельность", считаем необходимым привести в соответствие с понятиями, приведенными в Законе Кыргызской Республики "Об инновационной деятельности".</w:t>
      </w:r>
    </w:p>
    <w:p>
      <w:pPr>
        <w:spacing w:after="60"/>
        <w:ind w:firstLine="567"/>
        <w:jc w:val="both"/>
      </w:pPr>
      <w:r>
        <w:rPr>
          <w:rFonts w:ascii="Arial" w:cs="Arial" w:eastAsia="Arial" w:hAnsi="Arial"/>
          <w:sz w:val="24"/>
          <w:szCs w:val="24"/>
        </w:rPr>
        <w:t xml:space="preserve">В абзацах первом и девятом части 2 статьи 6 проекта Закона наименование уполномоченного государственного органа в сфере инновационной деятельности предлагаем привести в соответствие с наименованием, указанным в абзаце двенадцатом статьи 3 проекта Закона, для использования единой терминологии в рассматриваемом проекте Закона. Аналогичные замечания по части 3 статьи 9 и абзацу четвертому части 2 статьи 17 данного проекта Закона.</w:t>
      </w:r>
    </w:p>
    <w:p>
      <w:pPr>
        <w:spacing w:after="60"/>
        <w:ind w:firstLine="567"/>
        <w:jc w:val="both"/>
      </w:pPr>
      <w:r>
        <w:rPr>
          <w:rFonts w:ascii="Arial" w:cs="Arial" w:eastAsia="Arial" w:hAnsi="Arial"/>
          <w:sz w:val="24"/>
          <w:szCs w:val="24"/>
        </w:rPr>
        <w:t xml:space="preserve">По статье 4.</w:t>
      </w:r>
    </w:p>
    <w:p>
      <w:pPr>
        <w:spacing w:after="60"/>
        <w:ind w:firstLine="567"/>
        <w:jc w:val="both"/>
      </w:pPr>
      <w:r>
        <w:rPr>
          <w:rFonts w:ascii="Arial" w:cs="Arial" w:eastAsia="Arial" w:hAnsi="Arial"/>
          <w:sz w:val="24"/>
          <w:szCs w:val="24"/>
        </w:rPr>
        <w:t xml:space="preserve">В целях приведения в соответствие со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 нормативных правовых актах Кыргызской Республики", в статье 4 представленного законопроекта после слов "нормативными правовыми актами" слова "местной государственной администрации" предлагаем исключить.</w:t>
      </w:r>
    </w:p>
    <w:p>
      <w:pPr>
        <w:spacing w:after="60"/>
        <w:ind w:firstLine="567"/>
        <w:jc w:val="both"/>
      </w:pPr>
      <w:r>
        <w:rPr>
          <w:rFonts w:ascii="Arial" w:cs="Arial" w:eastAsia="Arial" w:hAnsi="Arial"/>
          <w:sz w:val="24"/>
          <w:szCs w:val="24"/>
        </w:rPr>
        <w:t xml:space="preserve">По статье 5.</w:t>
      </w:r>
    </w:p>
    <w:p>
      <w:pPr>
        <w:spacing w:after="60"/>
        <w:ind w:firstLine="567"/>
        <w:jc w:val="both"/>
      </w:pPr>
      <w:r>
        <w:rPr>
          <w:rFonts w:ascii="Arial" w:cs="Arial" w:eastAsia="Arial" w:hAnsi="Arial"/>
          <w:sz w:val="24"/>
          <w:szCs w:val="24"/>
        </w:rPr>
        <w:t xml:space="preserve">В абзаце четвертом части 3 статьи 5 проекта Закона указано, что решение о включении технопарка в Реестр оформляется распоряжением Премьер-министра Кыргызской Республики и подтверждается выдачей свидетельства установленного образца о включении в Реестр на бесплатной основе.</w:t>
      </w:r>
    </w:p>
    <w:p>
      <w:pPr>
        <w:spacing w:after="60"/>
        <w:ind w:firstLine="567"/>
        <w:jc w:val="both"/>
      </w:pPr>
      <w:r>
        <w:rPr>
          <w:rFonts w:ascii="Arial" w:cs="Arial" w:eastAsia="Arial" w:hAnsi="Arial"/>
          <w:sz w:val="24"/>
          <w:szCs w:val="24"/>
        </w:rPr>
        <w:t xml:space="preserve">Данное положение статьи 5 проекта Закона предлагается доработать и дополнить в связи с тем, что неясно, кто будет выдавать и кем будет утверждаться образец свидетельства.</w:t>
      </w:r>
    </w:p>
    <w:p>
      <w:pPr>
        <w:spacing w:after="60"/>
        <w:ind w:firstLine="567"/>
        <w:jc w:val="both"/>
      </w:pPr>
      <w:r>
        <w:rPr>
          <w:rFonts w:ascii="Arial" w:cs="Arial" w:eastAsia="Arial" w:hAnsi="Arial"/>
          <w:sz w:val="24"/>
          <w:szCs w:val="24"/>
        </w:rPr>
        <w:t xml:space="preserve">По статье 6.</w:t>
      </w:r>
    </w:p>
    <w:p>
      <w:pPr>
        <w:spacing w:after="60"/>
        <w:ind w:firstLine="567"/>
        <w:jc w:val="both"/>
      </w:pPr>
      <w:r>
        <w:rPr>
          <w:rFonts w:ascii="Arial" w:cs="Arial" w:eastAsia="Arial" w:hAnsi="Arial"/>
          <w:sz w:val="24"/>
          <w:szCs w:val="24"/>
        </w:rPr>
        <w:t xml:space="preserve">В части 3 статьи 6 проекта Закона предлагается установить, что в случае, если технопарк, включенный в Государственный реестр технопарков, развивается неэффективно, не обеспечивает наличие условий, определенных в пункте 1 статьи 6, то по предложению уполномоченного органа государственной власти по инновационной деятельности может быть исключен из Государственного реестра технопарков.</w:t>
      </w:r>
    </w:p>
    <w:p>
      <w:pPr>
        <w:spacing w:after="60"/>
        <w:ind w:firstLine="567"/>
        <w:jc w:val="both"/>
      </w:pPr>
      <w:r>
        <w:rPr>
          <w:rFonts w:ascii="Arial" w:cs="Arial" w:eastAsia="Arial" w:hAnsi="Arial"/>
          <w:sz w:val="24"/>
          <w:szCs w:val="24"/>
        </w:rPr>
        <w:t xml:space="preserve">Такие неконкретные, на наш взгляд, формулировки в проекте Закона могут способствовать появлению коррупционных проявлений в правоприменительной практике, так как данные положения являются обобщенными и носят оценочный характер, что даст возможность толковать ту или иную ситуацию соответствующим субъектам по своему усмотрению.</w:t>
      </w:r>
    </w:p>
    <w:p>
      <w:pPr>
        <w:spacing w:after="60"/>
        <w:ind w:firstLine="567"/>
        <w:jc w:val="both"/>
      </w:pPr>
      <w:r>
        <w:rPr>
          <w:rFonts w:ascii="Arial" w:cs="Arial" w:eastAsia="Arial" w:hAnsi="Arial"/>
          <w:sz w:val="24"/>
          <w:szCs w:val="24"/>
        </w:rPr>
        <w:t xml:space="preserve">В этой связи предлагается часть 3 статьи 6 проекта Закона пересмотреть. Аналогичные замечания по части 1 статьи 15, части 1 статьи 18 и части 1 статьи 19 проекта Закона.</w:t>
      </w:r>
    </w:p>
    <w:p>
      <w:pPr>
        <w:spacing w:after="60"/>
        <w:ind w:firstLine="567"/>
        <w:jc w:val="both"/>
      </w:pPr>
      <w:r>
        <w:rPr>
          <w:rFonts w:ascii="Arial" w:cs="Arial" w:eastAsia="Arial" w:hAnsi="Arial"/>
          <w:sz w:val="24"/>
          <w:szCs w:val="24"/>
        </w:rPr>
        <w:t xml:space="preserve">По статье 7.</w:t>
      </w:r>
    </w:p>
    <w:p>
      <w:pPr>
        <w:spacing w:after="60"/>
        <w:ind w:firstLine="567"/>
        <w:jc w:val="both"/>
      </w:pPr>
      <w:r>
        <w:rPr>
          <w:rFonts w:ascii="Arial" w:cs="Arial" w:eastAsia="Arial" w:hAnsi="Arial"/>
          <w:sz w:val="24"/>
          <w:szCs w:val="24"/>
        </w:rPr>
        <w:t xml:space="preserve">Абзацы седьмой и восьмой статьи 7 проекта Закона предусматривают установление особенностей налогообложения и других выплат, предусмотренных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установление специального таможенного режима, предусмотренного Таможенным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5</w:t>
      </w:r>
      <w:r>
        <w:rPr>
          <w:rFonts w:ascii="Arial" w:cs="Arial" w:eastAsia="Arial" w:hAnsi="Arial"/>
          <w:sz w:val="24"/>
          <w:szCs w:val="24"/>
        </w:rPr>
        <w:t xml:space="preserve"> Налогового кодекса Кыргызской Республики налоги устанавливаются или отменяются исключительно данным Кодексом, 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Также согласно </w:t>
      </w:r>
      <w:r>
        <w:rPr>
          <w:rFonts w:ascii="Arial" w:cs="Arial" w:eastAsia="Arial" w:hAnsi="Arial"/>
          <w:sz w:val="24"/>
          <w:szCs w:val="24"/>
        </w:rPr>
        <w:t xml:space="preserve">статье 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акты, имеющие нормативный характер, издаются в форме постановлений Правительства Кыргызской Республики. Акты по оперативным и другим текущим вопросам, не имеющие нормативного характера, издаются в форме распоряжений Правительства Кыргызской Республики.</w:t>
      </w:r>
    </w:p>
    <w:p>
      <w:pPr>
        <w:spacing w:after="60"/>
        <w:ind w:firstLine="567"/>
        <w:jc w:val="both"/>
      </w:pPr>
      <w:r>
        <w:rPr>
          <w:rFonts w:ascii="Arial" w:cs="Arial" w:eastAsia="Arial" w:hAnsi="Arial"/>
          <w:sz w:val="24"/>
          <w:szCs w:val="24"/>
        </w:rPr>
        <w:t xml:space="preserve">В этой связи предлагаем в части 2 статьи 7, в части 1 и 2 статьи 10 представленного законопроекта слова "нормативными правовыми актами" заменить словом "решениями".</w:t>
      </w:r>
    </w:p>
    <w:p>
      <w:pPr>
        <w:spacing w:after="60"/>
        <w:ind w:firstLine="567"/>
        <w:jc w:val="both"/>
      </w:pPr>
      <w:r>
        <w:rPr>
          <w:rFonts w:ascii="Arial" w:cs="Arial" w:eastAsia="Arial" w:hAnsi="Arial"/>
          <w:sz w:val="24"/>
          <w:szCs w:val="24"/>
        </w:rPr>
        <w:t xml:space="preserve">Кроме того, пунктом 12 Меморандума по экономической и финансовой политике на 2015-2017 годы, подписанного Кыргызской Республикой с Международным валютным фондом, предусмотрено, что Кыргызская Республика в целях реализации структурных реформ для улучшения делового климата и развития конкурентоспособного частного сектора, способного поддержать устойчивый рост, берет на себя обязательство по проведению следующих мер в сфере налоговой политики:</w:t>
      </w:r>
    </w:p>
    <w:p>
      <w:pPr>
        <w:spacing w:after="60"/>
        <w:ind w:firstLine="567"/>
        <w:jc w:val="both"/>
      </w:pPr>
      <w:r>
        <w:rPr>
          <w:rFonts w:ascii="Arial" w:cs="Arial" w:eastAsia="Arial" w:hAnsi="Arial"/>
          <w:sz w:val="24"/>
          <w:szCs w:val="24"/>
        </w:rPr>
        <w:t xml:space="preserve">- укрепление системы НДС путем сокращения числа освобождений, в том числе по импорту услуг, в базе НДС и постепенной отмены налога с продаж;</w:t>
      </w:r>
    </w:p>
    <w:p>
      <w:pPr>
        <w:spacing w:after="60"/>
        <w:ind w:firstLine="567"/>
        <w:jc w:val="both"/>
      </w:pPr>
      <w:r>
        <w:rPr>
          <w:rFonts w:ascii="Arial" w:cs="Arial" w:eastAsia="Arial" w:hAnsi="Arial"/>
          <w:sz w:val="24"/>
          <w:szCs w:val="24"/>
        </w:rPr>
        <w:t xml:space="preserve">- упрощение налогообложения предприятий с оборотом ниже порогового уровня для регистрации плательщиков НДС и сокращение числа налогов для малых предприятий с 4 до 2;</w:t>
      </w:r>
    </w:p>
    <w:p>
      <w:pPr>
        <w:spacing w:after="60"/>
        <w:ind w:firstLine="567"/>
        <w:jc w:val="both"/>
      </w:pPr>
      <w:r>
        <w:rPr>
          <w:rFonts w:ascii="Arial" w:cs="Arial" w:eastAsia="Arial" w:hAnsi="Arial"/>
          <w:sz w:val="24"/>
          <w:szCs w:val="24"/>
        </w:rPr>
        <w:t xml:space="preserve">- отмена остающихся налоговых освобождений и воздержание от введения льготных режимов налогообложения для отдельных секторов и видов деятельности.</w:t>
      </w:r>
    </w:p>
    <w:p>
      <w:pPr>
        <w:spacing w:after="60"/>
        <w:ind w:firstLine="567"/>
        <w:jc w:val="both"/>
      </w:pPr>
      <w:r>
        <w:rPr>
          <w:rFonts w:ascii="Arial" w:cs="Arial" w:eastAsia="Arial" w:hAnsi="Arial"/>
          <w:sz w:val="24"/>
          <w:szCs w:val="24"/>
        </w:rPr>
        <w:t xml:space="preserve">Такие же меры предусмотрены </w:t>
      </w:r>
      <w:r>
        <w:rPr>
          <w:rFonts w:ascii="Arial" w:cs="Arial" w:eastAsia="Arial" w:hAnsi="Arial"/>
          <w:sz w:val="24"/>
          <w:szCs w:val="24"/>
        </w:rPr>
        <w:t xml:space="preserve">Концепцией</w:t>
      </w:r>
      <w:r>
        <w:rPr>
          <w:rFonts w:ascii="Arial" w:cs="Arial" w:eastAsia="Arial" w:hAnsi="Arial"/>
          <w:sz w:val="24"/>
          <w:szCs w:val="24"/>
        </w:rPr>
        <w:t xml:space="preserve"> фискальной политики Кыргызской Республики на 2015-2020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Кроме того, порядок налогообложения в Кыргызской Республике установлен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которым предусматривается единый подход к налогообложению и основывается на принципах обязательности уплаты налогов в бюджет, определенности, справедливости обложения налогами, единства налоговой системы, стабильности и гласности законодательства о налогах.</w:t>
      </w:r>
    </w:p>
    <w:p>
      <w:pPr>
        <w:spacing w:after="60"/>
        <w:ind w:firstLine="567"/>
        <w:jc w:val="both"/>
      </w:pPr>
      <w:r>
        <w:rPr>
          <w:rFonts w:ascii="Arial" w:cs="Arial" w:eastAsia="Arial" w:hAnsi="Arial"/>
          <w:sz w:val="24"/>
          <w:szCs w:val="24"/>
        </w:rPr>
        <w:t xml:space="preserve">Любые налоговые льготы или освобождение, предоставляемые отдельным категориям налогоплательщиков, приводят к нарушению одного из основных принципов налогообложения - принципа справедливости, предполагающего создание одинаковых условий для всех субъектов и создание механизма равномерного распределения налогового бремени между отдельными субъектами по принципу справедливости и равномерности.</w:t>
      </w:r>
    </w:p>
    <w:p>
      <w:pPr>
        <w:spacing w:after="60"/>
        <w:ind w:firstLine="567"/>
        <w:jc w:val="both"/>
      </w:pPr>
      <w:r>
        <w:rPr>
          <w:rFonts w:ascii="Arial" w:cs="Arial" w:eastAsia="Arial" w:hAnsi="Arial"/>
          <w:sz w:val="24"/>
          <w:szCs w:val="24"/>
        </w:rPr>
        <w:t xml:space="preserve">Национальной стратегией</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определено,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освобождение, а также ликвидация имеющихся возможностей для уклонения от налогообложения.</w:t>
      </w:r>
    </w:p>
    <w:p>
      <w:pPr>
        <w:spacing w:after="60"/>
        <w:ind w:firstLine="567"/>
        <w:jc w:val="both"/>
      </w:pPr>
      <w:r>
        <w:rPr>
          <w:rFonts w:ascii="Arial" w:cs="Arial" w:eastAsia="Arial" w:hAnsi="Arial"/>
          <w:sz w:val="24"/>
          <w:szCs w:val="24"/>
        </w:rPr>
        <w:t xml:space="preserve">Следует отметить, что при снижении ставки, отмены какого-либо налога или предоставления освобождения от уплаты налога, необходимо сначала определить соответствующие альтернативные источники компенсации прямых потерь доходов бюджета. В противном случае уменьшение доходной части бюджета в условиях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При действующих в стране умеренных налоговых ставках предоставление налоговых льгот для субъектов, являющихся резидентами технопарка, не будет являться определяющим фактором и действенным механизмом развития этой сферы деятельности. В большинстве стран мира поддержка резидентов технопарка осуществляется путем предоставления адресной дотации из бюджета, которая является более действенной и эффективной поддержкой таких субъектов.</w:t>
      </w:r>
    </w:p>
    <w:p>
      <w:pPr>
        <w:spacing w:after="60"/>
        <w:ind w:firstLine="567"/>
        <w:jc w:val="both"/>
      </w:pPr>
      <w:r>
        <w:rPr>
          <w:rFonts w:ascii="Arial" w:cs="Arial" w:eastAsia="Arial" w:hAnsi="Arial"/>
          <w:sz w:val="24"/>
          <w:szCs w:val="24"/>
        </w:rPr>
        <w:t xml:space="preserve">Относительно установления специального таможенного режима (статьи 7, 14 и 18 проекта Закона) следует отметить, что согласно </w:t>
      </w:r>
      <w:r>
        <w:rPr>
          <w:rFonts w:ascii="Arial" w:cs="Arial" w:eastAsia="Arial" w:hAnsi="Arial"/>
          <w:sz w:val="24"/>
          <w:szCs w:val="24"/>
        </w:rPr>
        <w:t xml:space="preserve">статье 303</w:t>
      </w:r>
      <w:r>
        <w:rPr>
          <w:rFonts w:ascii="Arial" w:cs="Arial" w:eastAsia="Arial" w:hAnsi="Arial"/>
          <w:sz w:val="24"/>
          <w:szCs w:val="24"/>
        </w:rPr>
        <w:t xml:space="preserve"> Закона Кыргызской Республики "О таможенном регулировании в Кыргызской Республике" Таможенный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признается утратившим силу со дня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этой связи необходимо отметить, что пунктом 3 </w:t>
      </w:r>
      <w:r>
        <w:rPr>
          <w:rFonts w:ascii="Arial" w:cs="Arial" w:eastAsia="Arial" w:hAnsi="Arial"/>
          <w:sz w:val="24"/>
          <w:szCs w:val="24"/>
        </w:rPr>
        <w:t xml:space="preserve">статьи 202</w:t>
      </w:r>
      <w:r>
        <w:rPr>
          <w:rFonts w:ascii="Arial" w:cs="Arial" w:eastAsia="Arial" w:hAnsi="Arial"/>
          <w:sz w:val="24"/>
          <w:szCs w:val="24"/>
        </w:rPr>
        <w:t xml:space="preserve"> Таможенного кодекса Таможенного союза определено, что специальная таможенная процедура устанавливается законодательством государства-члена Таможенного союза в соответствии с условиями и в отношении категорий товаров, определенных решением Комиссии Таможенного союза.</w:t>
      </w:r>
    </w:p>
    <w:p>
      <w:pPr>
        <w:spacing w:after="60"/>
        <w:ind w:firstLine="567"/>
        <w:jc w:val="both"/>
      </w:pPr>
      <w:r>
        <w:rPr>
          <w:rFonts w:ascii="Arial" w:cs="Arial" w:eastAsia="Arial" w:hAnsi="Arial"/>
          <w:sz w:val="24"/>
          <w:szCs w:val="24"/>
        </w:rPr>
        <w:t xml:space="preserve">В то же время, согласно пункту 2 </w:t>
      </w:r>
      <w:r>
        <w:rPr>
          <w:rFonts w:ascii="Arial" w:cs="Arial" w:eastAsia="Arial" w:hAnsi="Arial"/>
          <w:sz w:val="24"/>
          <w:szCs w:val="24"/>
        </w:rPr>
        <w:t xml:space="preserve">статьи 74</w:t>
      </w:r>
      <w:r>
        <w:rPr>
          <w:rFonts w:ascii="Arial" w:cs="Arial" w:eastAsia="Arial" w:hAnsi="Arial"/>
          <w:sz w:val="24"/>
          <w:szCs w:val="24"/>
        </w:rPr>
        <w:t xml:space="preserve"> Таможенного кодекса Таможенного союза виды тарифных льгот, порядок и случаи их предоставления определяются в соответствии с данным </w:t>
      </w:r>
      <w:r>
        <w:rPr>
          <w:rFonts w:ascii="Arial" w:cs="Arial" w:eastAsia="Arial" w:hAnsi="Arial"/>
          <w:sz w:val="24"/>
          <w:szCs w:val="24"/>
        </w:rPr>
        <w:t xml:space="preserve">Кодексом</w:t>
      </w:r>
      <w:r>
        <w:rPr>
          <w:rFonts w:ascii="Arial" w:cs="Arial" w:eastAsia="Arial" w:hAnsi="Arial"/>
          <w:sz w:val="24"/>
          <w:szCs w:val="24"/>
        </w:rPr>
        <w:t xml:space="preserve"> и (или) международными договорами государств-членов Таможенного союза.</w:t>
      </w:r>
    </w:p>
    <w:p>
      <w:pPr>
        <w:spacing w:after="60"/>
        <w:ind w:firstLine="567"/>
        <w:jc w:val="both"/>
      </w:pPr>
      <w:r>
        <w:rPr>
          <w:rFonts w:ascii="Arial" w:cs="Arial" w:eastAsia="Arial" w:hAnsi="Arial"/>
          <w:sz w:val="24"/>
          <w:szCs w:val="24"/>
        </w:rPr>
        <w:t xml:space="preserve">Представление резидентам технопарков меры государственной поддержки в форме установления специальной таможенной процедуры, а также предоставление резидентам технопарков тарифных льгот обусловлено соблюдением вышеуказанных требований Таможенного кодекса Таможенного союза и данного проекта Закона.</w:t>
      </w:r>
    </w:p>
    <w:p>
      <w:pPr>
        <w:spacing w:after="60"/>
        <w:ind w:firstLine="567"/>
        <w:jc w:val="both"/>
      </w:pPr>
      <w:r>
        <w:rPr>
          <w:rFonts w:ascii="Arial" w:cs="Arial" w:eastAsia="Arial" w:hAnsi="Arial"/>
          <w:sz w:val="24"/>
          <w:szCs w:val="24"/>
        </w:rPr>
        <w:t xml:space="preserve">На основании вышеизложенного предлагается следующее:</w:t>
      </w:r>
    </w:p>
    <w:p>
      <w:pPr>
        <w:spacing w:after="60"/>
        <w:ind w:firstLine="567"/>
        <w:jc w:val="both"/>
      </w:pPr>
      <w:r>
        <w:rPr>
          <w:rFonts w:ascii="Arial" w:cs="Arial" w:eastAsia="Arial" w:hAnsi="Arial"/>
          <w:sz w:val="24"/>
          <w:szCs w:val="24"/>
        </w:rPr>
        <w:t xml:space="preserve">- абзацы седьмой и восьмой статьи 7 исключить;</w:t>
      </w:r>
    </w:p>
    <w:p>
      <w:pPr>
        <w:spacing w:after="60"/>
        <w:ind w:firstLine="567"/>
        <w:jc w:val="both"/>
      </w:pPr>
      <w:r>
        <w:rPr>
          <w:rFonts w:ascii="Arial" w:cs="Arial" w:eastAsia="Arial" w:hAnsi="Arial"/>
          <w:sz w:val="24"/>
          <w:szCs w:val="24"/>
        </w:rPr>
        <w:t xml:space="preserve">- статью 14 исключить;</w:t>
      </w:r>
    </w:p>
    <w:p>
      <w:pPr>
        <w:spacing w:after="60"/>
        <w:ind w:firstLine="567"/>
        <w:jc w:val="both"/>
      </w:pPr>
      <w:r>
        <w:rPr>
          <w:rFonts w:ascii="Arial" w:cs="Arial" w:eastAsia="Arial" w:hAnsi="Arial"/>
          <w:sz w:val="24"/>
          <w:szCs w:val="24"/>
        </w:rPr>
        <w:t xml:space="preserve">- часть 5 статьи 18 исключить;</w:t>
      </w:r>
    </w:p>
    <w:p>
      <w:pPr>
        <w:spacing w:after="60"/>
        <w:ind w:firstLine="567"/>
        <w:jc w:val="both"/>
      </w:pPr>
      <w:r>
        <w:rPr>
          <w:rFonts w:ascii="Arial" w:cs="Arial" w:eastAsia="Arial" w:hAnsi="Arial"/>
          <w:sz w:val="24"/>
          <w:szCs w:val="24"/>
        </w:rPr>
        <w:t xml:space="preserve">-  в части 6 статьи 18 слова "и данное юридическое (физическое) лицо подлежит налогообложению на общих основаниях, в том числе и за период первичной регистрации" исключить.</w:t>
      </w:r>
    </w:p>
    <w:p>
      <w:pPr>
        <w:spacing w:after="60"/>
        <w:ind w:firstLine="567"/>
        <w:jc w:val="both"/>
      </w:pPr>
      <w:r>
        <w:rPr>
          <w:rFonts w:ascii="Arial" w:cs="Arial" w:eastAsia="Arial" w:hAnsi="Arial"/>
          <w:sz w:val="24"/>
          <w:szCs w:val="24"/>
        </w:rPr>
        <w:t xml:space="preserve">По статье 8.</w:t>
      </w:r>
    </w:p>
    <w:p>
      <w:pPr>
        <w:spacing w:after="60"/>
        <w:ind w:firstLine="567"/>
        <w:jc w:val="both"/>
      </w:pPr>
      <w:r>
        <w:rPr>
          <w:rFonts w:ascii="Arial" w:cs="Arial" w:eastAsia="Arial" w:hAnsi="Arial"/>
          <w:sz w:val="24"/>
          <w:szCs w:val="24"/>
        </w:rPr>
        <w:t xml:space="preserve">Статья 8 проекта Закона предусматривает, что критерии и порядок отбора резидентов технопарков для предоставления им мер государственной поддержки, определенных настоящим Законом, устанавливаются дирекциями соответствующих технопарков согласно настоящему Закону.</w:t>
      </w:r>
    </w:p>
    <w:p>
      <w:pPr>
        <w:spacing w:after="60"/>
        <w:ind w:firstLine="567"/>
        <w:jc w:val="both"/>
      </w:pPr>
      <w:r>
        <w:rPr>
          <w:rFonts w:ascii="Arial" w:cs="Arial" w:eastAsia="Arial" w:hAnsi="Arial"/>
          <w:sz w:val="24"/>
          <w:szCs w:val="24"/>
        </w:rPr>
        <w:t xml:space="preserve">Между тем, указанные положения будут обладать характеристиками нормативного правового акта, поскольку будут направлены на регламентацию прав и обязанностей юридических лиц и будут применяться неопределенным кругом лиц неоднократно. Ввиду чего указанные в статье 8 проекта Закона критерии и порядок отбора резидентов технопарков для предоставления им мер государственной поддержки необходимо устанавливать соответствующим нормативным правовым актом Правительства Кыргызской Республики.</w:t>
      </w:r>
    </w:p>
    <w:p>
      <w:pPr>
        <w:spacing w:after="60"/>
        <w:ind w:firstLine="567"/>
        <w:jc w:val="both"/>
      </w:pPr>
      <w:r>
        <w:rPr>
          <w:rFonts w:ascii="Arial" w:cs="Arial" w:eastAsia="Arial" w:hAnsi="Arial"/>
          <w:sz w:val="24"/>
          <w:szCs w:val="24"/>
        </w:rPr>
        <w:t xml:space="preserve">По статье 13.</w:t>
      </w:r>
    </w:p>
    <w:p>
      <w:pPr>
        <w:spacing w:after="60"/>
        <w:ind w:firstLine="567"/>
        <w:jc w:val="both"/>
      </w:pPr>
      <w:r>
        <w:rPr>
          <w:rFonts w:ascii="Arial" w:cs="Arial" w:eastAsia="Arial" w:hAnsi="Arial"/>
          <w:sz w:val="24"/>
          <w:szCs w:val="24"/>
        </w:rPr>
        <w:t xml:space="preserve">В части 1 статьи 13 проекта Закона предусмотрено, что средства республиканского и муниципального бюджетов могут вноситься в качестве вкладов в уставные капиталы открытых акционерных обществ, являющихся резидентами технопарков, в случае, если Законом Кыргызской Республики о республиканском бюджете предусмотрено осуществление таких расходов.</w:t>
      </w:r>
    </w:p>
    <w:p>
      <w:pPr>
        <w:spacing w:after="60"/>
        <w:ind w:firstLine="567"/>
        <w:jc w:val="both"/>
      </w:pPr>
      <w:r>
        <w:rPr>
          <w:rFonts w:ascii="Arial" w:cs="Arial" w:eastAsia="Arial" w:hAnsi="Arial"/>
          <w:sz w:val="24"/>
          <w:szCs w:val="24"/>
        </w:rPr>
        <w:t xml:space="preserve">При этом в </w:t>
      </w:r>
      <w:r>
        <w:rPr>
          <w:rFonts w:ascii="Arial" w:cs="Arial" w:eastAsia="Arial" w:hAnsi="Arial"/>
          <w:sz w:val="24"/>
          <w:szCs w:val="24"/>
        </w:rPr>
        <w:t xml:space="preserve">статье 40</w:t>
      </w:r>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указан исчерпывающий перечень расходов, на которые выделяются денежные средства из республиканского бюджета.</w:t>
      </w:r>
    </w:p>
    <w:p>
      <w:pPr>
        <w:spacing w:after="60"/>
        <w:ind w:firstLine="567"/>
        <w:jc w:val="both"/>
      </w:pPr>
      <w:r>
        <w:rPr>
          <w:rFonts w:ascii="Arial" w:cs="Arial" w:eastAsia="Arial" w:hAnsi="Arial"/>
          <w:sz w:val="24"/>
          <w:szCs w:val="24"/>
        </w:rPr>
        <w:t xml:space="preserve">В части 1 статьи 13 проекта слово "муниципального" предлагаем заменить словом "местного".</w:t>
      </w:r>
    </w:p>
    <w:p>
      <w:pPr>
        <w:spacing w:after="60"/>
        <w:ind w:firstLine="567"/>
        <w:jc w:val="both"/>
      </w:pPr>
      <w:r>
        <w:rPr>
          <w:rFonts w:ascii="Arial" w:cs="Arial" w:eastAsia="Arial" w:hAnsi="Arial"/>
          <w:sz w:val="24"/>
          <w:szCs w:val="24"/>
        </w:rPr>
        <w:t xml:space="preserve">В части 2 статьи 13 проекта Закона Кыргызской Республики после слов "могут вноситься" слова "уполномоченным органом по управлению государственным имуществом Кыргызской Республики" предлагаем исключить, поскольку к компетенции Фонда по управлению государственным имуществом при Правительстве Кыргызской Республики не относится вопрос внесения муниципального имущества в качестве вклада в уставные капиталы акционерных обществ.</w:t>
      </w:r>
    </w:p>
    <w:p>
      <w:pPr>
        <w:spacing w:after="60"/>
        <w:ind w:firstLine="567"/>
        <w:jc w:val="both"/>
      </w:pPr>
      <w:r>
        <w:rPr>
          <w:rFonts w:ascii="Arial" w:cs="Arial" w:eastAsia="Arial" w:hAnsi="Arial"/>
          <w:sz w:val="24"/>
          <w:szCs w:val="24"/>
        </w:rPr>
        <w:t xml:space="preserve">По статье 17.</w:t>
      </w:r>
    </w:p>
    <w:p>
      <w:pPr>
        <w:spacing w:after="60"/>
        <w:ind w:firstLine="567"/>
        <w:jc w:val="both"/>
      </w:pPr>
      <w:r>
        <w:rPr>
          <w:rFonts w:ascii="Arial" w:cs="Arial" w:eastAsia="Arial" w:hAnsi="Arial"/>
          <w:sz w:val="24"/>
          <w:szCs w:val="24"/>
        </w:rPr>
        <w:t xml:space="preserve">Отмечаем противоречие положений статьи 17 статье 20 проекта Закона, так как в первом случае Реестр резидентов ведется уполномоченным государственным органом в сфере инноваций, а во втором случае - дирекцией технопарка.</w:t>
      </w:r>
    </w:p>
    <w:p>
      <w:pPr>
        <w:spacing w:after="60"/>
        <w:ind w:firstLine="567"/>
        <w:jc w:val="both"/>
      </w:pPr>
      <w:r>
        <w:rPr>
          <w:rFonts w:ascii="Arial" w:cs="Arial" w:eastAsia="Arial" w:hAnsi="Arial"/>
          <w:sz w:val="24"/>
          <w:szCs w:val="24"/>
        </w:rPr>
        <w:t xml:space="preserve">Также положениями статей 5 и 17 проекта Закона предусматриваются определенные обязанности для уполномоченного государственного органа в сфере инноваций.</w:t>
      </w:r>
    </w:p>
    <w:p>
      <w:pPr>
        <w:spacing w:after="60"/>
        <w:ind w:firstLine="567"/>
        <w:jc w:val="both"/>
      </w:pPr>
      <w:r>
        <w:rPr>
          <w:rFonts w:ascii="Arial" w:cs="Arial" w:eastAsia="Arial" w:hAnsi="Arial"/>
          <w:sz w:val="24"/>
          <w:szCs w:val="24"/>
        </w:rPr>
        <w:t xml:space="preserve">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w:t>
      </w:r>
      <w:r>
        <w:rPr>
          <w:rFonts w:ascii="Arial" w:cs="Arial" w:eastAsia="Arial" w:hAnsi="Arial"/>
          <w:sz w:val="24"/>
          <w:szCs w:val="24"/>
        </w:rPr>
        <w:t xml:space="preserve">статье 87</w:t>
      </w:r>
      <w:r>
        <w:rPr>
          <w:rFonts w:ascii="Arial" w:cs="Arial" w:eastAsia="Arial" w:hAnsi="Arial"/>
          <w:sz w:val="24"/>
          <w:szCs w:val="24"/>
        </w:rPr>
        <w:t xml:space="preserve"> Гражданского кодекса Кыргызской Республики и статьям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указанного конституционного Закона Правительство Кыргызской Республики, исходя из полномочий, указанных в названном </w:t>
      </w:r>
      <w:r>
        <w:rPr>
          <w:rFonts w:ascii="Arial" w:cs="Arial" w:eastAsia="Arial" w:hAnsi="Arial"/>
          <w:sz w:val="24"/>
          <w:szCs w:val="24"/>
        </w:rPr>
        <w:t xml:space="preserve">конституционном Законе</w:t>
      </w:r>
      <w:r>
        <w:rPr>
          <w:rFonts w:ascii="Arial" w:cs="Arial" w:eastAsia="Arial" w:hAnsi="Arial"/>
          <w:sz w:val="24"/>
          <w:szCs w:val="24"/>
        </w:rPr>
        <w:t xml:space="preserve">, распределяет функции по их реализации между министерствами, государственным комитетом,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60"/>
        <w:ind w:firstLine="567"/>
        <w:jc w:val="both"/>
      </w:pPr>
      <w:r>
        <w:rPr>
          <w:rFonts w:ascii="Arial" w:cs="Arial" w:eastAsia="Arial" w:hAnsi="Arial"/>
          <w:sz w:val="24"/>
          <w:szCs w:val="24"/>
        </w:rPr>
        <w:t xml:space="preserve">Указанные полномочия Правительства Кыргызской Республики непосредственно базируются на </w:t>
      </w:r>
      <w:r>
        <w:rPr>
          <w:rFonts w:ascii="Arial" w:cs="Arial" w:eastAsia="Arial" w:hAnsi="Arial"/>
          <w:sz w:val="24"/>
          <w:szCs w:val="24"/>
        </w:rPr>
        <w:t xml:space="preserve">статье 90</w:t>
      </w:r>
      <w:r>
        <w:rPr>
          <w:rFonts w:ascii="Arial" w:cs="Arial" w:eastAsia="Arial" w:hAnsi="Arial"/>
          <w:sz w:val="24"/>
          <w:szCs w:val="24"/>
        </w:rPr>
        <w:t xml:space="preserve"> Конституции Кыргызской Республики, в соответствии с которой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 и на </w:t>
      </w:r>
      <w:r>
        <w:rPr>
          <w:rFonts w:ascii="Arial" w:cs="Arial" w:eastAsia="Arial" w:hAnsi="Arial"/>
          <w:sz w:val="24"/>
          <w:szCs w:val="24"/>
        </w:rPr>
        <w:t xml:space="preserve">статье 83</w:t>
      </w:r>
      <w:r>
        <w:rPr>
          <w:rFonts w:ascii="Arial" w:cs="Arial" w:eastAsia="Arial" w:hAnsi="Arial"/>
          <w:sz w:val="24"/>
          <w:szCs w:val="24"/>
        </w:rPr>
        <w:t xml:space="preserve"> Конституции Кыргызской Республики, определяющей, что министерства, государственные комитеты, административные ведомства и местные государственные администрации функционируют в подчинении Правительства.</w:t>
      </w:r>
    </w:p>
    <w:p>
      <w:pPr>
        <w:spacing w:after="60"/>
        <w:ind w:firstLine="567"/>
        <w:jc w:val="both"/>
      </w:pPr>
      <w:r>
        <w:rPr>
          <w:rFonts w:ascii="Arial" w:cs="Arial" w:eastAsia="Arial" w:hAnsi="Arial"/>
          <w:sz w:val="24"/>
          <w:szCs w:val="24"/>
        </w:rPr>
        <w:t xml:space="preserve">В части 1 статьи 17 проекта Закона слова "местные органы государственной власти" предлагаем заменить словами "органы местного самоуправления".</w:t>
      </w:r>
    </w:p>
    <w:p>
      <w:pPr>
        <w:spacing w:after="60"/>
        <w:ind w:firstLine="567"/>
        <w:jc w:val="both"/>
      </w:pPr>
      <w:r>
        <w:rPr>
          <w:rFonts w:ascii="Arial" w:cs="Arial" w:eastAsia="Arial" w:hAnsi="Arial"/>
          <w:sz w:val="24"/>
          <w:szCs w:val="24"/>
        </w:rPr>
        <w:t xml:space="preserve">Частью 3 статьи 17 проекта Закона предусмотрено, что Правительство Кыргызской Республики ежегодно в течение 15 календарных дней после внесения в Жогорку Кенеш Кыргызской Республики проекта Закона Кыргызской Республики об исполнении республиканского бюджета за отчетный финансовый год направляет в Жогорку Кенеш Кыргызской Республики информацию о предоставлении резидентам технопарков мер государственной поддержки, установленных настоящим Законом. Однако основные вопросы формирования и исполнения республиканского бюджета и местных бюджетов Кыргызской Республики определены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60"/>
        <w:ind w:firstLine="567"/>
        <w:jc w:val="both"/>
      </w:pPr>
      <w:r>
        <w:rPr>
          <w:rFonts w:ascii="Arial" w:cs="Arial" w:eastAsia="Arial" w:hAnsi="Arial"/>
          <w:sz w:val="24"/>
          <w:szCs w:val="24"/>
        </w:rPr>
        <w:t xml:space="preserve">В этой связи предлагаем часть 3 статьи 17 проекта Закона пересмотреть.</w:t>
      </w:r>
    </w:p>
    <w:p>
      <w:pPr>
        <w:spacing w:after="60"/>
        <w:ind w:firstLine="567"/>
        <w:jc w:val="both"/>
      </w:pPr>
      <w:r>
        <w:rPr>
          <w:rFonts w:ascii="Arial" w:cs="Arial" w:eastAsia="Arial" w:hAnsi="Arial"/>
          <w:sz w:val="24"/>
          <w:szCs w:val="24"/>
        </w:rPr>
        <w:t xml:space="preserve">По статье 18.</w:t>
      </w:r>
    </w:p>
    <w:p>
      <w:pPr>
        <w:spacing w:after="60"/>
        <w:ind w:firstLine="567"/>
        <w:jc w:val="both"/>
      </w:pPr>
      <w:r>
        <w:rPr>
          <w:rFonts w:ascii="Arial" w:cs="Arial" w:eastAsia="Arial" w:hAnsi="Arial"/>
          <w:sz w:val="24"/>
          <w:szCs w:val="24"/>
        </w:rPr>
        <w:t xml:space="preserve">В части 3 статьи 18 указано, что резидент технопарка подлежит окончательной регистрации на срок более 5 лет (с возможностью дальнейшей пролонгации), с выдачей соответствующего свидетельства.</w:t>
      </w:r>
    </w:p>
    <w:p>
      <w:pPr>
        <w:spacing w:after="60"/>
        <w:ind w:firstLine="567"/>
        <w:jc w:val="both"/>
      </w:pPr>
      <w:r>
        <w:rPr>
          <w:rFonts w:ascii="Arial" w:cs="Arial" w:eastAsia="Arial" w:hAnsi="Arial"/>
          <w:sz w:val="24"/>
          <w:szCs w:val="24"/>
        </w:rPr>
        <w:t xml:space="preserve">Вместе с тем, во избежание коррупционных проявлений предлагаем указать конкретный срок регистрации резидента технопарка.</w:t>
      </w:r>
    </w:p>
    <w:p>
      <w:pPr>
        <w:spacing w:after="60"/>
        <w:ind w:firstLine="567"/>
        <w:jc w:val="both"/>
      </w:pPr>
      <w:r>
        <w:rPr>
          <w:rFonts w:ascii="Arial" w:cs="Arial" w:eastAsia="Arial" w:hAnsi="Arial"/>
          <w:sz w:val="24"/>
          <w:szCs w:val="24"/>
        </w:rPr>
        <w:t xml:space="preserve">Поскольку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являются составной частью правовой системы Кыргызской Республики, предлагаем часть 7 статьи 18 изложить в следующей редакции:</w:t>
      </w:r>
    </w:p>
    <w:p>
      <w:pPr>
        <w:spacing w:after="60"/>
        <w:ind w:firstLine="567"/>
        <w:jc w:val="both"/>
      </w:pPr>
      <w:r>
        <w:rPr>
          <w:rFonts w:ascii="Arial" w:cs="Arial" w:eastAsia="Arial" w:hAnsi="Arial"/>
          <w:sz w:val="24"/>
          <w:szCs w:val="24"/>
        </w:rPr>
        <w:t xml:space="preserve">"7. Правовое регулирование трудовых отношений сотрудников резидентов технопарков определяется законодательством Кыргызской Республики о труде,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 статье 19.</w:t>
      </w:r>
    </w:p>
    <w:p>
      <w:pPr>
        <w:spacing w:after="60"/>
        <w:ind w:firstLine="567"/>
        <w:jc w:val="both"/>
      </w:pPr>
      <w:r>
        <w:rPr>
          <w:rFonts w:ascii="Arial" w:cs="Arial" w:eastAsia="Arial" w:hAnsi="Arial"/>
          <w:sz w:val="24"/>
          <w:szCs w:val="24"/>
        </w:rPr>
        <w:t xml:space="preserve">В части 1 статьи 19 предусмотрено, что регистрация резидента технопарка может быть аннулирована по предложению научно-технического совета дирекцией технопарка, с обязательным уведомлением соответствующих налоговых и таможенных органов.</w:t>
      </w:r>
    </w:p>
    <w:p>
      <w:pPr>
        <w:spacing w:after="60"/>
        <w:ind w:firstLine="567"/>
        <w:jc w:val="both"/>
      </w:pPr>
      <w:r>
        <w:rPr>
          <w:rFonts w:ascii="Arial" w:cs="Arial" w:eastAsia="Arial" w:hAnsi="Arial"/>
          <w:sz w:val="24"/>
          <w:szCs w:val="24"/>
        </w:rPr>
        <w:t xml:space="preserve">В целях недопущения коррупционных проявлений предлагаем в данной статье указать четкие и исчерпывающие случаи внесения научно-техническим советом соответствующих предложений.</w:t>
      </w:r>
    </w:p>
    <w:p>
      <w:pPr>
        <w:spacing w:after="60"/>
        <w:ind w:firstLine="567"/>
        <w:jc w:val="both"/>
      </w:pPr>
      <w:r>
        <w:rPr>
          <w:rFonts w:ascii="Arial" w:cs="Arial" w:eastAsia="Arial" w:hAnsi="Arial"/>
          <w:sz w:val="24"/>
          <w:szCs w:val="24"/>
        </w:rPr>
        <w:t xml:space="preserve">По статье 22.</w:t>
      </w:r>
    </w:p>
    <w:p>
      <w:pPr>
        <w:spacing w:after="60"/>
        <w:ind w:firstLine="567"/>
        <w:jc w:val="both"/>
      </w:pPr>
      <w:r>
        <w:rPr>
          <w:rFonts w:ascii="Arial" w:cs="Arial" w:eastAsia="Arial" w:hAnsi="Arial"/>
          <w:sz w:val="24"/>
          <w:szCs w:val="24"/>
        </w:rPr>
        <w:t xml:space="preserve">В статье 22 проекта Закона указано, что настоящий Закон вступает в силу по истечении пятнадцати дней.</w:t>
      </w:r>
    </w:p>
    <w:p>
      <w:pPr>
        <w:spacing w:after="60"/>
        <w:ind w:firstLine="567"/>
        <w:jc w:val="both"/>
      </w:pPr>
      <w:r>
        <w:rPr>
          <w:rFonts w:ascii="Arial" w:cs="Arial" w:eastAsia="Arial" w:hAnsi="Arial"/>
          <w:sz w:val="24"/>
          <w:szCs w:val="24"/>
        </w:rPr>
        <w:t xml:space="preserve">Однако согласно статье 5 проекта Закона указано, что Правительство Кыргызской Республики устанавливает порядок формирования и ведения Государственного реестра технопарков, а также устанавливает форму заявления и перечень документов, подтверждающих соблюдения условий, указанных в статье 6 проекта Закона.</w:t>
      </w:r>
    </w:p>
    <w:p>
      <w:pPr>
        <w:spacing w:after="60"/>
        <w:ind w:firstLine="567"/>
        <w:jc w:val="both"/>
      </w:pPr>
      <w:r>
        <w:rPr>
          <w:rFonts w:ascii="Arial" w:cs="Arial" w:eastAsia="Arial" w:hAnsi="Arial"/>
          <w:sz w:val="24"/>
          <w:szCs w:val="24"/>
        </w:rPr>
        <w:t xml:space="preserve">В этой связи, во избежание правового вакуума при применении данного Закона, предлагаем в проекте Закона предусмотреть положение о поручении Правительству Кыргызской Республики разработать соответствующие нормативные правовые акты, вытекающие из данного Закона.</w:t>
      </w:r>
    </w:p>
    <w:p>
      <w:pPr>
        <w:spacing w:after="60"/>
        <w:ind w:firstLine="567"/>
        <w:jc w:val="both"/>
      </w:pPr>
      <w:r>
        <w:rPr>
          <w:rFonts w:ascii="Arial" w:cs="Arial" w:eastAsia="Arial" w:hAnsi="Arial"/>
          <w:sz w:val="24"/>
          <w:szCs w:val="24"/>
        </w:rPr>
        <w:t xml:space="preserve">Таким образом, предлагаем в статье 22 проекта Закона сроки вступления в силу обозначить с учетом срока принятия Правительством Кыргызской Республики соответствующих актов.</w:t>
      </w:r>
    </w:p>
    <w:p>
      <w:pPr>
        <w:spacing w:after="60"/>
        <w:ind w:firstLine="567"/>
        <w:jc w:val="both"/>
      </w:pPr>
      <w:r>
        <w:rPr>
          <w:rFonts w:ascii="Arial" w:cs="Arial" w:eastAsia="Arial" w:hAnsi="Arial"/>
          <w:sz w:val="24"/>
          <w:szCs w:val="24"/>
        </w:rPr>
        <w:t xml:space="preserve">В целом по проекту Закона отмечаем необходимость пересмотра текста законопроекта с учетом требований статей </w:t>
      </w:r>
      <w:r>
        <w:rPr>
          <w:rFonts w:ascii="Arial" w:cs="Arial" w:eastAsia="Arial" w:hAnsi="Arial"/>
          <w:sz w:val="24"/>
          <w:szCs w:val="24"/>
        </w:rPr>
        <w:t xml:space="preserve">11</w:t>
      </w:r>
      <w:r>
        <w:rPr>
          <w:rFonts w:ascii="Arial" w:cs="Arial" w:eastAsia="Arial" w:hAnsi="Arial"/>
          <w:sz w:val="24"/>
          <w:szCs w:val="24"/>
        </w:rPr>
        <w:t xml:space="preserve"> и </w:t>
      </w:r>
      <w:r>
        <w:rPr>
          <w:rFonts w:ascii="Arial" w:cs="Arial" w:eastAsia="Arial" w:hAnsi="Arial"/>
          <w:sz w:val="24"/>
          <w:szCs w:val="24"/>
        </w:rPr>
        <w:t xml:space="preserve">12</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государственной поддержке технологических парков Кыргызской Республики" с учетом изложенных замечаний и предложений.</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ll5fsuvlsm4u2lz86z00" Type="http://schemas.openxmlformats.org/officeDocument/2006/relationships/hyperlink" Target="http://kodeks.duckdns.org/document/159126" TargetMode="External"/><Relationship Id="rIdd6q1afkblpkakcgs7fmxe" Type="http://schemas.openxmlformats.org/officeDocument/2006/relationships/hyperlink" Target="http://kodeks.duckdns.org/document/203685" TargetMode="External"/><Relationship Id="rIdf2xvzksraktdw4_qntbnx" Type="http://schemas.openxmlformats.org/officeDocument/2006/relationships/hyperlink" Target="http://kodeks.duckdns.org/document/98047#p1" TargetMode="External"/><Relationship Id="rIdqqlcxdnoyu18ewvxjo490" Type="http://schemas.openxmlformats.org/officeDocument/2006/relationships/hyperlink" Target="http://kodeks.duckdns.org/document/9804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2026-09-23T11:51:44.760Z</dcterms:created>
  <dcterms:modified xsi:type="dcterms:W3CDTF">2026-09-23T11:51:44.760Z</dcterms:modified>
</cp:coreProperties>
</file>

<file path=docProps/custom.xml><?xml version="1.0" encoding="utf-8"?>
<Properties xmlns="http://schemas.openxmlformats.org/officeDocument/2006/custom-properties" xmlns:vt="http://schemas.openxmlformats.org/officeDocument/2006/docPropsVTypes"/>
</file>