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9udaujomkyvgxdhze2t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октября 2015 года № 691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(об ограничении оборота алкогольных напитков)"</w:t>
      </w:r>
    </w:p>
    <w:p>
      <w:pPr>
        <w:spacing w:after="120"/>
        <w:jc w:val="both"/>
      </w:pPr>
      <w:r>
        <w:rPr>
          <w:rFonts w:ascii="Arial" w:cs="Arial" w:eastAsia="Arial" w:hAnsi="Arial"/>
          <w:sz w:val="24"/>
          <w:szCs w:val="24"/>
        </w:rPr>
        <w:t xml:space="preserve">В соответствии со статьей 31 </w:t>
      </w:r>
      <w:hyperlink w:history="1" r:id="rIdqhxabhj9kspjuchfwnqs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hlw3wpfzq8gr-7drmzhn1">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(об ограничении оборота алкогольных напитков)", инициированный депутатами Жогорку Кенеша Кыргызской Республики Д.Д.Бекешевым, Ш.Айтматовой, М.Э.Сабировым, Э.Б.Исаковым, Т.М.Узакбаевым, Т.В.Левиной, Ж.Р.Сапарбаевым, Н.В.Никитенко, Н.А.Касымбековым, М.Б.Тиленчиевой, Т.Бакир уулу, Н.А.Мадалиевым, М.М.Кадырбековой, Г.Садырбаевой, А.Мамытовым, А.А.Досалиевым, Б.А.Маматовым, У.К.Нуркуловым, Т.З.Зулпукаровым, Ч.А.Султанбековой, У.Т.Кочкоровым, М.А.Расуловым.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2aufl9huhx4qcoaowivg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октября 2015 года № 691</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(об ограничении оборота алкогольных напитков)"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дополнений и изменений в некоторые законодательные акты Кыргызской Республики (об ограничении оборота алкогольных напитков)", инициированный депутатами Жогорку Кенеша Кыргызской Республики Д.Д.Бекешевым, Ш.Айтматовой, М.Э.Сабировым, Э.Б.Исаковым, Т.М.Узакбаевым, Т.В.Левиной, Ж.Р.Сапарбаевым, Н.В.Никитенко, Н.А.Касымбековым, М.Б.Тиленчиевой, Т.Бакир уулу, Н.А.Мадалиевым, М.М.Кадырбековой, Г.Садырбаевой, А.Мамытовым, А.А.Досалиевым, Б.А.Маматовым, У.К.Нуркуловым, Т.З.Зулпукаровым, Ч.А.Султанбековой, У.Т.Кочкоровым, М.А.Расуловым (далее - проект Закона), приходит к следующему заключению.</w:t>
      </w:r>
    </w:p>
    <w:p>
      <w:pPr>
        <w:spacing w:after="120"/>
        <w:jc w:val="both"/>
      </w:pPr>
      <w:r>
        <w:rPr>
          <w:rFonts w:ascii="Arial" w:cs="Arial" w:eastAsia="Arial" w:hAnsi="Arial"/>
          <w:sz w:val="24"/>
          <w:szCs w:val="24"/>
        </w:rPr>
        <w:t xml:space="preserve">Проектом Закона предусматривается внесение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и алкогольной продукции", в части запрета производства и оборота пива в емкостях из полимерных изделий, объемом 2 и более литров, производства и оборота водки в укупоренных емкостях из полимерных изделий, запрета продажи водки на розлив, за исключением развлекательных заведений и пунктов общественного питания, введения ограничения на оборот алкогольной продукции с 22.00 часов до 08.00 часов, а также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и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 части ужесточения мер ответственности за нарушения в данной сфере.</w:t>
      </w:r>
    </w:p>
    <w:p>
      <w:pPr>
        <w:spacing w:after="120"/>
        <w:jc w:val="both"/>
      </w:pPr>
      <w:r>
        <w:rPr>
          <w:rFonts w:ascii="Arial" w:cs="Arial" w:eastAsia="Arial" w:hAnsi="Arial"/>
          <w:sz w:val="24"/>
          <w:szCs w:val="24"/>
        </w:rPr>
        <w:t xml:space="preserve">При этом, согласно справке-обоснованию к проекту Закона, он разработан в целях сокращения потребления населением алкогольной продукции, снижения отрицательного влияния алкоголя на здоровье и нравственность населения, а также в целях создания условий, ограничивающих свободный и повсеместный оборот спиртных напитков, в том числе наиболее распространенных - пива и водки.</w:t>
      </w:r>
    </w:p>
    <w:p>
      <w:pPr>
        <w:spacing w:after="120"/>
        <w:jc w:val="both"/>
      </w:pPr>
      <w:r>
        <w:rPr>
          <w:rFonts w:ascii="Arial" w:cs="Arial" w:eastAsia="Arial" w:hAnsi="Arial"/>
          <w:sz w:val="24"/>
          <w:szCs w:val="24"/>
        </w:rPr>
        <w:t xml:space="preserve">В целом, поддерживая изменения и дополнения, предлагаемые проектом Закона, отмечаем следующее.</w:t>
      </w:r>
    </w:p>
    <w:p>
      <w:pPr>
        <w:spacing w:after="120"/>
        <w:jc w:val="both"/>
      </w:pPr>
      <w:r>
        <w:rPr>
          <w:rFonts w:ascii="Arial" w:cs="Arial" w:eastAsia="Arial" w:hAnsi="Arial"/>
          <w:sz w:val="24"/>
          <w:szCs w:val="24"/>
        </w:rPr>
        <w:t xml:space="preserve">Согласно дополнениям, предусмотренным частями 2 и 3 статьи 1 проекта Закона, не допускается реализация алкогольной продукции в торговых помещениях общей площадью менее 50 квадратных метров, за исключением специализированных магазинов по продаже алкогольных напитков, а также оборот алкогольной продукции в ночное время суток.</w:t>
      </w:r>
    </w:p>
    <w:p>
      <w:pPr>
        <w:spacing w:after="120"/>
        <w:jc w:val="both"/>
      </w:pPr>
      <w:r>
        <w:rPr>
          <w:rFonts w:ascii="Arial" w:cs="Arial" w:eastAsia="Arial" w:hAnsi="Arial"/>
          <w:sz w:val="24"/>
          <w:szCs w:val="24"/>
        </w:rPr>
        <w:t xml:space="preserve">В связи с этим необходимо отметить, что данная норма может создать предпосылки для "подпольной", безлицензионной торговли алкогольной продукцией в малых населенных пунктах, где торговля чаще всего осуществляется в помещениях площадью менее 50 квадратных метров.</w:t>
      </w:r>
    </w:p>
    <w:p>
      <w:pPr>
        <w:spacing w:after="120"/>
        <w:jc w:val="both"/>
      </w:pPr>
      <w:r>
        <w:rPr>
          <w:rFonts w:ascii="Arial" w:cs="Arial" w:eastAsia="Arial" w:hAnsi="Arial"/>
          <w:sz w:val="24"/>
          <w:szCs w:val="24"/>
        </w:rPr>
        <w:t xml:space="preserve">Ограничение оборота алкогольных напитков после 22-00 часов окажет влияние на снижение объемов реализации алкогольной продукции. Вместе с тем, не исключен риск, что потребители привыкнут к необходимости закупки алкоголя в запас, и исключение составят только спонтанные ночные закупки, которые составляют незначительный объем в общей реализации алкогольной продукции.</w:t>
      </w:r>
    </w:p>
    <w:p>
      <w:pPr>
        <w:spacing w:after="120"/>
        <w:jc w:val="both"/>
      </w:pPr>
      <w:r>
        <w:rPr>
          <w:rFonts w:ascii="Arial" w:cs="Arial" w:eastAsia="Arial" w:hAnsi="Arial"/>
          <w:sz w:val="24"/>
          <w:szCs w:val="24"/>
        </w:rPr>
        <w:t xml:space="preserve">Кроме того, отсутствие определения понятия "специализированный магазин по продаже алкогольных напитков" создаст трудности в реализации данного ограничения на практике, поскольку таким магазином может являться любой субъект торговой деятельности, имеющий лицензию на право реализации алкогольной продукции.</w:t>
      </w:r>
    </w:p>
    <w:p>
      <w:pPr>
        <w:spacing w:after="120"/>
        <w:jc w:val="both"/>
      </w:pPr>
      <w:r>
        <w:rPr>
          <w:rFonts w:ascii="Arial" w:cs="Arial" w:eastAsia="Arial" w:hAnsi="Arial"/>
          <w:sz w:val="24"/>
          <w:szCs w:val="24"/>
        </w:rPr>
        <w:t xml:space="preserve">Частью 2 статьи 1 проекта Закона предлагается часть 2 </w:t>
      </w:r>
      <w:r>
        <w:rPr>
          <w:rFonts w:ascii="Arial" w:cs="Arial" w:eastAsia="Arial" w:hAnsi="Arial"/>
          <w:sz w:val="24"/>
          <w:szCs w:val="24"/>
        </w:rPr>
        <w:t xml:space="preserve">статьи 13</w:t>
      </w:r>
      <w:r>
        <w:rPr>
          <w:rFonts w:ascii="Arial" w:cs="Arial" w:eastAsia="Arial" w:hAnsi="Arial"/>
          <w:sz w:val="24"/>
          <w:szCs w:val="24"/>
        </w:rPr>
        <w:t xml:space="preserve"> Закона Кыргызской Республики "О государственном регулировании производства и оборота этилового спирта и алкогольной продукции" дополнить нормой, согласно которой не допускается реализация алкогольной продукции через интернет-магазины, а также любым иным дистанционным способом.</w:t>
      </w:r>
    </w:p>
    <w:p>
      <w:pPr>
        <w:spacing w:after="120"/>
        <w:jc w:val="both"/>
      </w:pPr>
      <w:r>
        <w:rPr>
          <w:rFonts w:ascii="Arial" w:cs="Arial" w:eastAsia="Arial" w:hAnsi="Arial"/>
          <w:sz w:val="24"/>
          <w:szCs w:val="24"/>
        </w:rPr>
        <w:t xml:space="preserve">В связи с этим отмечаем, что в соответствии со </w:t>
      </w:r>
      <w:r>
        <w:rPr>
          <w:rFonts w:ascii="Arial" w:cs="Arial" w:eastAsia="Arial" w:hAnsi="Arial"/>
          <w:sz w:val="24"/>
          <w:szCs w:val="24"/>
        </w:rPr>
        <w:t xml:space="preserve">статьей 24-1</w:t>
      </w:r>
      <w:r>
        <w:rPr>
          <w:rFonts w:ascii="Arial" w:cs="Arial" w:eastAsia="Arial" w:hAnsi="Arial"/>
          <w:sz w:val="24"/>
          <w:szCs w:val="24"/>
        </w:rPr>
        <w:t xml:space="preserve"> Закона Кыргызской Республики "О защите прав потребителей" договор розничной купли-продажи товара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интернета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pPr>
        <w:spacing w:after="120"/>
        <w:jc w:val="both"/>
      </w:pPr>
      <w:r>
        <w:rPr>
          <w:rFonts w:ascii="Arial" w:cs="Arial" w:eastAsia="Arial" w:hAnsi="Arial"/>
          <w:sz w:val="24"/>
          <w:szCs w:val="24"/>
        </w:rPr>
        <w:t xml:space="preserve">Исходя из данной нормы следует, что дистанционный способ продажи товара включает и продажу через интернет-магазины. Ввиду чего предлагаем предусмотреть норму, запрещающую реализацию алкогольной продукции через дистанционный способ продажи.</w:t>
      </w:r>
    </w:p>
    <w:p>
      <w:pPr>
        <w:spacing w:after="120"/>
        <w:jc w:val="both"/>
      </w:pPr>
      <w:r>
        <w:rPr>
          <w:rFonts w:ascii="Arial" w:cs="Arial" w:eastAsia="Arial" w:hAnsi="Arial"/>
          <w:sz w:val="24"/>
          <w:szCs w:val="24"/>
        </w:rPr>
        <w:t xml:space="preserve">Аналогичные замечания по абзацу четвертому части 3 статьи 1 проекта Закона.</w:t>
      </w:r>
    </w:p>
    <w:p>
      <w:pPr>
        <w:spacing w:after="120"/>
        <w:jc w:val="both"/>
      </w:pPr>
      <w:r>
        <w:rPr>
          <w:rFonts w:ascii="Arial" w:cs="Arial" w:eastAsia="Arial" w:hAnsi="Arial"/>
          <w:sz w:val="24"/>
          <w:szCs w:val="24"/>
        </w:rPr>
        <w:t xml:space="preserve">Кроме того, считаем целесообразным в понятийном аппарате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и алкогольной продукции" предусмотреть определение понятий "дистанционный способ продажи товаров", "специализированный магазин по продаже алкогольной продукции", "емкости из полимерных изделий", "развлекательные заведения", поскольку их отсутствие может создать трудности при осуществлении регулирования и контроля за оборотом алкогольной продукции.</w:t>
      </w:r>
    </w:p>
    <w:p>
      <w:pPr>
        <w:spacing w:after="120"/>
        <w:jc w:val="both"/>
      </w:pPr>
      <w:r>
        <w:rPr>
          <w:rFonts w:ascii="Arial" w:cs="Arial" w:eastAsia="Arial" w:hAnsi="Arial"/>
          <w:sz w:val="24"/>
          <w:szCs w:val="24"/>
        </w:rPr>
        <w:t xml:space="preserve">Также предлагаем учесть редакционные правки:</w:t>
      </w:r>
    </w:p>
    <w:p>
      <w:pPr>
        <w:spacing w:after="120"/>
        <w:jc w:val="both"/>
      </w:pPr>
      <w:r>
        <w:rPr>
          <w:rFonts w:ascii="Arial" w:cs="Arial" w:eastAsia="Arial" w:hAnsi="Arial"/>
          <w:sz w:val="24"/>
          <w:szCs w:val="24"/>
        </w:rPr>
        <w:t xml:space="preserve">- в абзаце пятом части 2 статьи 1 проекта Закона слово "водки" заменить словами "алкогольной продукции" в целях недопущения реализации на розлив других видов алкогольной продукции, таких, как ликеры, виски, вино и т.д.;</w:t>
      </w:r>
    </w:p>
    <w:p>
      <w:pPr>
        <w:spacing w:after="120"/>
        <w:jc w:val="both"/>
      </w:pPr>
      <w:r>
        <w:rPr>
          <w:rFonts w:ascii="Arial" w:cs="Arial" w:eastAsia="Arial" w:hAnsi="Arial"/>
          <w:sz w:val="24"/>
          <w:szCs w:val="24"/>
        </w:rPr>
        <w:t xml:space="preserve">- в абзацах пятом и шестом части 2 и в абзаце третьем части 3 статьи 1 проекта Закона слово "пунктов" заменить словом "объектов";</w:t>
      </w:r>
    </w:p>
    <w:p>
      <w:pPr>
        <w:spacing w:after="120"/>
        <w:jc w:val="both"/>
      </w:pPr>
      <w:r>
        <w:rPr>
          <w:rFonts w:ascii="Arial" w:cs="Arial" w:eastAsia="Arial" w:hAnsi="Arial"/>
          <w:sz w:val="24"/>
          <w:szCs w:val="24"/>
        </w:rPr>
        <w:t xml:space="preserve">- в абзаце втором части 3 статьи 1 проекта Закона слово "напитков" заменить словом "продукции", так как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и алкогольной продукции" предусмотрено понятие "алкогольная продукция".</w:t>
      </w:r>
    </w:p>
    <w:p>
      <w:pPr>
        <w:spacing w:after="120"/>
        <w:jc w:val="both"/>
      </w:pPr>
      <w:r>
        <w:rPr>
          <w:rFonts w:ascii="Arial" w:cs="Arial" w:eastAsia="Arial" w:hAnsi="Arial"/>
          <w:sz w:val="24"/>
          <w:szCs w:val="24"/>
        </w:rPr>
        <w:t xml:space="preserve">С учетом того, что Кыргызстан стал полноправным членом Евразийского экономического союза (далее - ЕАЭС)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технические регламенты Таможенного союза (далее - ТС) на территории Кыргызской Республики имеют силу прямого действия.</w:t>
      </w:r>
    </w:p>
    <w:p>
      <w:pPr>
        <w:spacing w:after="120"/>
        <w:jc w:val="both"/>
      </w:pPr>
      <w:r>
        <w:rPr>
          <w:rFonts w:ascii="Arial" w:cs="Arial" w:eastAsia="Arial" w:hAnsi="Arial"/>
          <w:sz w:val="24"/>
          <w:szCs w:val="24"/>
        </w:rPr>
        <w:t xml:space="preserve">Для обеспечения введения технических регламентов ТС на территории Кыргызской Республики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Плане мероприятий по применению технических регламентов Таможенного союза в Кыргызской Республике" от 20 января 2015 года № 15.</w:t>
      </w:r>
    </w:p>
    <w:p>
      <w:pPr>
        <w:spacing w:after="120"/>
        <w:jc w:val="both"/>
      </w:pPr>
      <w:r>
        <w:rPr>
          <w:rFonts w:ascii="Arial" w:cs="Arial" w:eastAsia="Arial" w:hAnsi="Arial"/>
          <w:sz w:val="24"/>
          <w:szCs w:val="24"/>
        </w:rPr>
        <w:t xml:space="preserve">Технический регламент ТС "О безопасности упаковки" (ТР ТС 005/2011) устанавливает обязательные для применения и исполнения требования к упаковке (укупорочным средствам), требования к процессам производства, хранения, транспортирования и утилизации в целях защиты жизни и здоровья человека, животных, растений, охраны окружающей среды, а также предупреждения действий, вводящих в заблуждение потребителей упаковки (укупорочных средств) относительно ее назначения и безопасности.</w:t>
      </w:r>
    </w:p>
    <w:p>
      <w:pPr>
        <w:spacing w:after="120"/>
        <w:jc w:val="both"/>
      </w:pPr>
      <w:r>
        <w:rPr>
          <w:rFonts w:ascii="Arial" w:cs="Arial" w:eastAsia="Arial" w:hAnsi="Arial"/>
          <w:sz w:val="24"/>
          <w:szCs w:val="24"/>
        </w:rPr>
        <w:t xml:space="preserve">В данном Техническом регламенте предусмотрены типы упаковки по используемым материалам, в том числе полимерная. В соответствии со статьей 5 указанного Технического регламента упаковка из полимерных материалов и пластических масс на их основе, предназначенная для упаковывания пищевой продукции, не должна выделять в контактирующие с ними модельные и воздушную среды вещества в количествах, вредных для здоровья человека, превышающих предельно допустимые количества миграции химических веществ.</w:t>
      </w:r>
    </w:p>
    <w:p>
      <w:pPr>
        <w:spacing w:after="120"/>
        <w:jc w:val="both"/>
      </w:pPr>
      <w:r>
        <w:rPr>
          <w:rFonts w:ascii="Arial" w:cs="Arial" w:eastAsia="Arial" w:hAnsi="Arial"/>
          <w:sz w:val="24"/>
          <w:szCs w:val="24"/>
        </w:rPr>
        <w:t xml:space="preserve">Кроме этого, необходимо отметить, что Кыргызская Республика вправе подготовить предложения о внесении изменений и дополнений в Технический регламент ТС "О безопасности упаковки" (ТР ТС 005/2011) и представить их для рассмотрения в Комиссию ЕАЭС, после принятия и одобрения которой Кыргызская Республика может вносить изменения и дополнения в национальные законодательные акты.</w:t>
      </w:r>
    </w:p>
    <w:p>
      <w:pPr>
        <w:spacing w:after="120"/>
        <w:jc w:val="both"/>
      </w:pPr>
      <w:r>
        <w:rPr>
          <w:rFonts w:ascii="Arial" w:cs="Arial" w:eastAsia="Arial" w:hAnsi="Arial"/>
          <w:sz w:val="24"/>
          <w:szCs w:val="24"/>
        </w:rPr>
        <w:t xml:space="preserve">Относительно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Частью 2 статьи 2 проекта Закона предлагается указанный Кодекс дополнить статьей 304-1, предусматривающей административную ответственность за нарушение законодательства Кыргызской Республики о государственном регулировании производства и оборота этилового спирта и алкогольной продукции физическими и юридическими лицами независимо от форм собственности, а также лицами, занимающимися предпринимательской деятельностью.</w:t>
      </w:r>
    </w:p>
    <w:p>
      <w:pPr>
        <w:spacing w:after="120"/>
        <w:jc w:val="both"/>
      </w:pPr>
      <w:r>
        <w:rPr>
          <w:rFonts w:ascii="Arial" w:cs="Arial" w:eastAsia="Arial" w:hAnsi="Arial"/>
          <w:sz w:val="24"/>
          <w:szCs w:val="24"/>
        </w:rPr>
        <w:t xml:space="preserve">В частности, за данное правонарушение предусматривается санкция в виде штрафа на граждан в размере ста, на должностных лиц - в размере двухсот, на юридических лиц - в размере одной тысячи расчетных показателей с конфискацией алкогольной продукции.</w:t>
      </w:r>
    </w:p>
    <w:p>
      <w:pPr>
        <w:spacing w:after="120"/>
        <w:jc w:val="both"/>
      </w:pPr>
      <w:r>
        <w:rPr>
          <w:rFonts w:ascii="Arial" w:cs="Arial" w:eastAsia="Arial" w:hAnsi="Arial"/>
          <w:sz w:val="24"/>
          <w:szCs w:val="24"/>
        </w:rPr>
        <w:t xml:space="preserve">В свою очередь, частью 2 предлагаемой статьи устанавливается ответственность за тоже действие, предусмотренное частью 1 статьи 304-1, совершенное повторно в течение года после применения мер административного взыскания. При этом данное правонарушение влечет наложение административного штрафа на граждан в размере ста, на должностных лиц - в размере двухсот расчетных показателей с конфискацией алкогольной продукции, на юридических лиц - лишение права (разрешения) на занятие определенным видом деятельности с конфискацией алкогольной продукции.</w:t>
      </w:r>
    </w:p>
    <w:p>
      <w:pPr>
        <w:spacing w:after="120"/>
        <w:jc w:val="both"/>
      </w:pPr>
      <w:r>
        <w:rPr>
          <w:rFonts w:ascii="Arial" w:cs="Arial" w:eastAsia="Arial" w:hAnsi="Arial"/>
          <w:sz w:val="24"/>
          <w:szCs w:val="24"/>
        </w:rPr>
        <w:t xml:space="preserve">В данном случае считаем, что меры воздействия должны быть соразмерны совершенному правонарушению, в связи с чем предлагаем пересмотреть размер штрафа, налагаемого на граждан.</w:t>
      </w:r>
    </w:p>
    <w:p>
      <w:pPr>
        <w:spacing w:after="120"/>
        <w:jc w:val="both"/>
      </w:pPr>
      <w:r>
        <w:rPr>
          <w:rFonts w:ascii="Arial" w:cs="Arial" w:eastAsia="Arial" w:hAnsi="Arial"/>
          <w:sz w:val="24"/>
          <w:szCs w:val="24"/>
        </w:rPr>
        <w:t xml:space="preserve">Кроме того, поскольку нормами статей </w:t>
      </w:r>
      <w:r>
        <w:rPr>
          <w:rFonts w:ascii="Arial" w:cs="Arial" w:eastAsia="Arial" w:hAnsi="Arial"/>
          <w:sz w:val="24"/>
          <w:szCs w:val="24"/>
        </w:rPr>
        <w:t xml:space="preserve">Кодекса</w:t>
      </w:r>
      <w:r>
        <w:rPr>
          <w:rFonts w:ascii="Arial" w:cs="Arial" w:eastAsia="Arial" w:hAnsi="Arial"/>
          <w:sz w:val="24"/>
          <w:szCs w:val="24"/>
        </w:rPr>
        <w:t xml:space="preserve"> об административной ответственности предусмотрены меры за нарушение отдельных норм законодательства Кыргызской Республики о государственном регулировании производства и оборота этилового спирта и алкогольной продукции, абзац третий части 2 статьи 2 проекта Закона после слов "предпринимательской деятельностью," предлагаем дополнить словами "в части требований по реализации алкогольной продукции через электронную торговлю, а также дистанционным способом, реализации алкогольной продукции на розлив, за исключением объектов общественного питания, обороту алкогольной продукции с 22-00 часов до 8-00 часов, за исключением объектов общественного питания,".</w:t>
      </w:r>
    </w:p>
    <w:p>
      <w:pPr>
        <w:spacing w:after="120"/>
        <w:jc w:val="both"/>
      </w:pPr>
      <w:r>
        <w:rPr>
          <w:rFonts w:ascii="Arial" w:cs="Arial" w:eastAsia="Arial" w:hAnsi="Arial"/>
          <w:sz w:val="24"/>
          <w:szCs w:val="24"/>
        </w:rPr>
        <w:t xml:space="preserve">Частью 3 статьи 2 проекта Закона предлагается статью 366 рассматриваемого Кодекса изложить в редакции, согласно которой употребление наркотических средств либо психотропных веществ, а равно распитие спиртных напитков на улице, стадионах, в скверах, во всех видах общественного транспорта и других общественных местах - влекут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При этом необходимо отметить, что словосочетание "других общественных местах" создает коррупциогенный фактор и предоставляет право субъектам по своему усмотрению, не руководствуясь четкими, законодательно закрепленными критериями, толковать ту или иную ситуацию. В связи с чем предлагаем доработать часть 3 статьи 2 проекта Закона.</w:t>
      </w:r>
    </w:p>
    <w:p>
      <w:pPr>
        <w:spacing w:after="120"/>
        <w:jc w:val="both"/>
      </w:pPr>
      <w:r>
        <w:rPr>
          <w:rFonts w:ascii="Arial" w:cs="Arial" w:eastAsia="Arial" w:hAnsi="Arial"/>
          <w:sz w:val="24"/>
          <w:szCs w:val="24"/>
        </w:rPr>
        <w:t xml:space="preserve">Аналогичное замечание по абзацу пятому части 2 статьи 1 проекта Закона (словосочетание "любым иным дистанционным способом").</w:t>
      </w:r>
    </w:p>
    <w:p>
      <w:pPr>
        <w:spacing w:after="120"/>
        <w:jc w:val="both"/>
      </w:pPr>
      <w:r>
        <w:rPr>
          <w:rFonts w:ascii="Arial" w:cs="Arial" w:eastAsia="Arial" w:hAnsi="Arial"/>
          <w:sz w:val="24"/>
          <w:szCs w:val="24"/>
        </w:rPr>
        <w:t xml:space="preserve">Частью 4 статьи 2 проекта Закона предлагается в части 1 статьи 508 Кодекса об административной ответственности слово и цифры "статьей 305" заменить словом и цифрами "статьями 304-1, 305", тем самым, установив, что суды районных, городских судов будут рассматривать дела об административных правонарушениях и налагать административные взыскания за нарушение законодательства Кыргызской Республики о государственном регулировании производства и оборота этилового спирта и алкогольной продукции физическими и юридическими лицами независимо от форм собственности.</w:t>
      </w:r>
    </w:p>
    <w:p>
      <w:pPr>
        <w:spacing w:after="120"/>
        <w:jc w:val="both"/>
      </w:pPr>
      <w:r>
        <w:rPr>
          <w:rFonts w:ascii="Arial" w:cs="Arial" w:eastAsia="Arial" w:hAnsi="Arial"/>
          <w:sz w:val="24"/>
          <w:szCs w:val="24"/>
        </w:rPr>
        <w:t xml:space="preserve">Вместе с этим отмечаем, что согласно </w:t>
      </w:r>
      <w:r>
        <w:rPr>
          <w:rFonts w:ascii="Arial" w:cs="Arial" w:eastAsia="Arial" w:hAnsi="Arial"/>
          <w:sz w:val="24"/>
          <w:szCs w:val="24"/>
        </w:rPr>
        <w:t xml:space="preserve">Положению</w:t>
      </w:r>
      <w:r>
        <w:rPr>
          <w:rFonts w:ascii="Arial" w:cs="Arial" w:eastAsia="Arial" w:hAnsi="Arial"/>
          <w:sz w:val="24"/>
          <w:szCs w:val="24"/>
        </w:rPr>
        <w:t xml:space="preserve"> о Государственной налоговой службе при Правительстве Кыргызской Республики, утвержденному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16 февраля 2012 года № 100, контроль за соблюдением законодательства в сфере производства и оборота этилового спирта и алкогольной продукции и условий, предусмотренных лицензионными требованиями и техническими регламентами, осуществляет обозначенная служба.</w:t>
      </w:r>
    </w:p>
    <w:p>
      <w:pPr>
        <w:spacing w:after="120"/>
        <w:jc w:val="both"/>
      </w:pPr>
      <w:r>
        <w:rPr>
          <w:rFonts w:ascii="Arial" w:cs="Arial" w:eastAsia="Arial" w:hAnsi="Arial"/>
          <w:sz w:val="24"/>
          <w:szCs w:val="24"/>
        </w:rPr>
        <w:t xml:space="preserve">Также пунктом 8 вышеуказанного </w:t>
      </w:r>
      <w:r>
        <w:rPr>
          <w:rFonts w:ascii="Arial" w:cs="Arial" w:eastAsia="Arial" w:hAnsi="Arial"/>
          <w:sz w:val="24"/>
          <w:szCs w:val="24"/>
        </w:rPr>
        <w:t xml:space="preserve">Положения</w:t>
      </w:r>
      <w:r>
        <w:rPr>
          <w:rFonts w:ascii="Arial" w:cs="Arial" w:eastAsia="Arial" w:hAnsi="Arial"/>
          <w:sz w:val="24"/>
          <w:szCs w:val="24"/>
        </w:rPr>
        <w:t xml:space="preserve"> установлено, что Государственная налоговая служба при Правительстве Кыргызской Республики вправе рассматривать дела об административных правонарушениях в рамках своей компетенции, установленной законодательством Кыргызской Республики.</w:t>
      </w:r>
    </w:p>
    <w:p>
      <w:pPr>
        <w:spacing w:after="120"/>
        <w:jc w:val="both"/>
      </w:pPr>
      <w:r>
        <w:rPr>
          <w:rFonts w:ascii="Arial" w:cs="Arial" w:eastAsia="Arial" w:hAnsi="Arial"/>
          <w:sz w:val="24"/>
          <w:szCs w:val="24"/>
        </w:rPr>
        <w:t xml:space="preserve">При этом по частям 4, 5 и 6 статьи 2 проекта Закона, с учетом изложенной выше позиции, отмечаем, что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Конституции Кыргызской Республики никто не должен повторно нести юридическую ответственность за одно и то же правонарушение. Уполномочивая проектом Закона суды, органы внутренних дел и органы налоговой службы на рассмотрение административных дел и наложение административных взысканий по одному и тому же правонарушению, создается предпосылка коррупционных проявлений.</w:t>
      </w:r>
    </w:p>
    <w:p>
      <w:pPr>
        <w:spacing w:after="120"/>
        <w:jc w:val="both"/>
      </w:pPr>
      <w:r>
        <w:rPr>
          <w:rFonts w:ascii="Arial" w:cs="Arial" w:eastAsia="Arial" w:hAnsi="Arial"/>
          <w:sz w:val="24"/>
          <w:szCs w:val="24"/>
        </w:rPr>
        <w:t xml:space="preserve">В этой связи предлагаем полномочия по рассмотрению дел и наложению административных взысканий за нарушение законодательства Кыргызской Республики о государственном регулировании производства и оборота этилового спирта и алкогольной продукции физическими и юридическими лицами независимо от форм собственности возложить на органы налоговой службы. В связи с чем части 4 и 5 статьи 2 проекта Закона предлагаем исключить.</w:t>
      </w:r>
    </w:p>
    <w:p>
      <w:pPr>
        <w:spacing w:after="120"/>
        <w:jc w:val="both"/>
      </w:pPr>
      <w:r>
        <w:rPr>
          <w:rFonts w:ascii="Arial" w:cs="Arial" w:eastAsia="Arial" w:hAnsi="Arial"/>
          <w:sz w:val="24"/>
          <w:szCs w:val="24"/>
        </w:rPr>
        <w:t xml:space="preserve">Относительно анализа регулятивного воздействия (далее - АРВ) к проекту Закона отмечаем, что в соответствии со </w:t>
      </w:r>
      <w:r>
        <w:rPr>
          <w:rFonts w:ascii="Arial" w:cs="Arial" w:eastAsia="Arial" w:hAnsi="Arial"/>
          <w:sz w:val="24"/>
          <w:szCs w:val="24"/>
        </w:rPr>
        <w:t xml:space="preserve">статьей 19</w:t>
      </w:r>
      <w:r>
        <w:rPr>
          <w:rFonts w:ascii="Arial" w:cs="Arial" w:eastAsia="Arial" w:hAnsi="Arial"/>
          <w:sz w:val="24"/>
          <w:szCs w:val="24"/>
        </w:rPr>
        <w:t xml:space="preserve">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w:t>
      </w:r>
      <w:r>
        <w:rPr>
          <w:rFonts w:ascii="Arial" w:cs="Arial" w:eastAsia="Arial" w:hAnsi="Arial"/>
          <w:sz w:val="24"/>
          <w:szCs w:val="24"/>
        </w:rPr>
        <w:t xml:space="preserve">Методикой</w:t>
      </w:r>
      <w:r>
        <w:rPr>
          <w:rFonts w:ascii="Arial" w:cs="Arial" w:eastAsia="Arial" w:hAnsi="Arial"/>
          <w:sz w:val="24"/>
          <w:szCs w:val="24"/>
        </w:rPr>
        <w:t xml:space="preserve">,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Методики</w:t>
      </w:r>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от 30 сентября 2014 года за № 559.</w:t>
      </w:r>
    </w:p>
    <w:p>
      <w:pPr>
        <w:spacing w:after="120"/>
        <w:jc w:val="both"/>
      </w:pPr>
      <w:r>
        <w:rPr>
          <w:rFonts w:ascii="Arial" w:cs="Arial" w:eastAsia="Arial" w:hAnsi="Arial"/>
          <w:sz w:val="24"/>
          <w:szCs w:val="24"/>
        </w:rPr>
        <w:t xml:space="preserve">Так, в соответствии с вышеуказанной </w:t>
      </w:r>
      <w:r>
        <w:rPr>
          <w:rFonts w:ascii="Arial" w:cs="Arial" w:eastAsia="Arial" w:hAnsi="Arial"/>
          <w:sz w:val="24"/>
          <w:szCs w:val="24"/>
        </w:rPr>
        <w:t xml:space="preserve">Методикой</w:t>
      </w:r>
      <w:r>
        <w:rPr>
          <w:rFonts w:ascii="Arial" w:cs="Arial" w:eastAsia="Arial" w:hAnsi="Arial"/>
          <w:sz w:val="24"/>
          <w:szCs w:val="24"/>
        </w:rPr>
        <w:t xml:space="preserve"> проведения АРВ нормативных правовых актов на деятельность субъектов предпринимательства, на этапе определения проблем необходимо дать точную формулировку проблемы, на решение которой направлено действие проекта.</w:t>
      </w:r>
    </w:p>
    <w:p>
      <w:pPr>
        <w:spacing w:after="120"/>
        <w:jc w:val="both"/>
      </w:pPr>
      <w:r>
        <w:rPr>
          <w:rFonts w:ascii="Arial" w:cs="Arial" w:eastAsia="Arial" w:hAnsi="Arial"/>
          <w:sz w:val="24"/>
          <w:szCs w:val="24"/>
        </w:rPr>
        <w:t xml:space="preserve">На этапе определения целей должны быть сформулированы конкретные цели государственного регулирования и определены количественные и качественные индикаторы достижения целей (показателей воздействия) с целевыми значениями для оценки их достижения.</w:t>
      </w:r>
    </w:p>
    <w:p>
      <w:pPr>
        <w:spacing w:after="120"/>
        <w:jc w:val="both"/>
      </w:pPr>
      <w:r>
        <w:rPr>
          <w:rFonts w:ascii="Arial" w:cs="Arial" w:eastAsia="Arial" w:hAnsi="Arial"/>
          <w:sz w:val="24"/>
          <w:szCs w:val="24"/>
        </w:rPr>
        <w:t xml:space="preserve">Следующий этап представляет собой разработку регулирования, в котором излагается суть механизма и особенности регулирования, инструменты регулирования.</w:t>
      </w:r>
    </w:p>
    <w:p>
      <w:pPr>
        <w:spacing w:after="120"/>
        <w:jc w:val="both"/>
      </w:pPr>
      <w:r>
        <w:rPr>
          <w:rFonts w:ascii="Arial" w:cs="Arial" w:eastAsia="Arial" w:hAnsi="Arial"/>
          <w:sz w:val="24"/>
          <w:szCs w:val="24"/>
        </w:rPr>
        <w:t xml:space="preserve">На этапе описания влияния регулирования излагаются ожидаемые последствия решения задач в варианте регулирования, степень достижения целевых значений индикаторов и ожидаемое воздействие на группы интересов.</w:t>
      </w:r>
    </w:p>
    <w:p>
      <w:pPr>
        <w:spacing w:after="120"/>
        <w:jc w:val="both"/>
      </w:pPr>
      <w:r>
        <w:rPr>
          <w:rFonts w:ascii="Arial" w:cs="Arial" w:eastAsia="Arial" w:hAnsi="Arial"/>
          <w:sz w:val="24"/>
          <w:szCs w:val="24"/>
        </w:rPr>
        <w:t xml:space="preserve">На этапе определения реализационных рисков необходимо определить риски, которые могут возникнуть при реализации рассматриваемого варианта регулирования.</w:t>
      </w:r>
    </w:p>
    <w:p>
      <w:pPr>
        <w:spacing w:after="120"/>
        <w:jc w:val="both"/>
      </w:pPr>
      <w:r>
        <w:rPr>
          <w:rFonts w:ascii="Arial" w:cs="Arial" w:eastAsia="Arial" w:hAnsi="Arial"/>
          <w:sz w:val="24"/>
          <w:szCs w:val="24"/>
        </w:rPr>
        <w:t xml:space="preserve">На этапе правового и других анализов излагаются основные выводы анализов, которые были проведены в процессе проведения АРВ для данного варианта регулирования, вместе с этим, необходимо отразить анализ воздействия на конкуренцию для каждого из альтернативных вариантов.</w:t>
      </w:r>
    </w:p>
    <w:p>
      <w:pPr>
        <w:spacing w:after="120"/>
        <w:jc w:val="both"/>
      </w:pPr>
      <w:r>
        <w:rPr>
          <w:rFonts w:ascii="Arial" w:cs="Arial" w:eastAsia="Arial" w:hAnsi="Arial"/>
          <w:sz w:val="24"/>
          <w:szCs w:val="24"/>
        </w:rPr>
        <w:t xml:space="preserve">Результатом общественных обсуждений должна быть информация, отображающая отношение к предложенному варианту регулирования заинтересованных сторон: субъектов предпринимательства (бизнес-ассоциаций), физических лиц и их объединений,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На данном этапе необходимо отразить вклад публичных обсуждений в проведение АРВ, т.е. описать, чьи мнения были учтены и в какой степени, а также чьи мнения не были учтены и почему.</w:t>
      </w:r>
    </w:p>
    <w:p>
      <w:pPr>
        <w:spacing w:after="120"/>
        <w:jc w:val="both"/>
      </w:pPr>
      <w:r>
        <w:rPr>
          <w:rFonts w:ascii="Arial" w:cs="Arial" w:eastAsia="Arial" w:hAnsi="Arial"/>
          <w:sz w:val="24"/>
          <w:szCs w:val="24"/>
        </w:rPr>
        <w:t xml:space="preserve">В части рекомендуемого регулирования излагаются основные аргументы в поддержку предпочтительного варианта регулирования. При этом должно быть проведено сравнение вариантов регулирования, определено, решит ли предложенное регулирование поставленные перед ним задачи, после чего сделан вывод относительно обоснованности представленного в проекте варианта регулирования, информацию должен отражать каждый из альтернативных вариантов регулирования.</w:t>
      </w:r>
    </w:p>
    <w:p>
      <w:pPr>
        <w:spacing w:after="120"/>
        <w:jc w:val="both"/>
      </w:pPr>
      <w:r>
        <w:rPr>
          <w:rFonts w:ascii="Arial" w:cs="Arial" w:eastAsia="Arial" w:hAnsi="Arial"/>
          <w:sz w:val="24"/>
          <w:szCs w:val="24"/>
        </w:rPr>
        <w:t xml:space="preserve">В связи с этим отмечаем необходимость соблюдения точности и последовательности выполнения всех рекомендованных </w:t>
      </w:r>
      <w:r>
        <w:rPr>
          <w:rFonts w:ascii="Arial" w:cs="Arial" w:eastAsia="Arial" w:hAnsi="Arial"/>
          <w:sz w:val="24"/>
          <w:szCs w:val="24"/>
        </w:rPr>
        <w:t xml:space="preserve">Методикой</w:t>
      </w:r>
      <w:r>
        <w:rPr>
          <w:rFonts w:ascii="Arial" w:cs="Arial" w:eastAsia="Arial" w:hAnsi="Arial"/>
          <w:sz w:val="24"/>
          <w:szCs w:val="24"/>
        </w:rPr>
        <w:t xml:space="preserve"> действий. При этом в соответствии с </w:t>
      </w:r>
      <w:r>
        <w:rPr>
          <w:rFonts w:ascii="Arial" w:cs="Arial" w:eastAsia="Arial" w:hAnsi="Arial"/>
          <w:sz w:val="24"/>
          <w:szCs w:val="24"/>
        </w:rPr>
        <w:t xml:space="preserve">Методикой</w:t>
      </w:r>
      <w:r>
        <w:rPr>
          <w:rFonts w:ascii="Arial" w:cs="Arial" w:eastAsia="Arial" w:hAnsi="Arial"/>
          <w:sz w:val="24"/>
          <w:szCs w:val="24"/>
        </w:rPr>
        <w:t xml:space="preserve"> сводная таблица не составляется.</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статье 25</w:t>
      </w:r>
      <w:r>
        <w:rPr>
          <w:rFonts w:ascii="Arial" w:cs="Arial" w:eastAsia="Arial" w:hAnsi="Arial"/>
          <w:sz w:val="24"/>
          <w:szCs w:val="24"/>
        </w:rPr>
        <w:t xml:space="preserve"> Закона Кыргызской Республики "О нормативных правовых актах Кыргызской Республики" справка-обоснование проекта нормативного правового акта должна содержать следующие сведения:</w:t>
      </w:r>
    </w:p>
    <w:p>
      <w:pPr>
        <w:spacing w:after="120"/>
        <w:jc w:val="both"/>
      </w:pPr>
      <w:r>
        <w:rPr>
          <w:rFonts w:ascii="Arial" w:cs="Arial" w:eastAsia="Arial" w:hAnsi="Arial"/>
          <w:sz w:val="24"/>
          <w:szCs w:val="24"/>
        </w:rPr>
        <w:t xml:space="preserve">- задачи, которые предположительно будут достигнуты или решены в результате принятия нормативного правового акта;</w:t>
      </w:r>
    </w:p>
    <w:p>
      <w:pPr>
        <w:spacing w:after="120"/>
        <w:jc w:val="both"/>
      </w:pPr>
      <w:r>
        <w:rPr>
          <w:rFonts w:ascii="Arial" w:cs="Arial" w:eastAsia="Arial" w:hAnsi="Arial"/>
          <w:sz w:val="24"/>
          <w:szCs w:val="24"/>
        </w:rPr>
        <w:t xml:space="preserve">- анализ нормативной правовой базы, действующей на момент разработки проекта нормативного правового акта, сведения о мониторинге и оценке законодательства, действующего в данной сфере общественных отношений;</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действия принимаемого нормативного правового акта;</w:t>
      </w:r>
    </w:p>
    <w:p>
      <w:pPr>
        <w:spacing w:after="120"/>
        <w:jc w:val="both"/>
      </w:pPr>
      <w:r>
        <w:rPr>
          <w:rFonts w:ascii="Arial" w:cs="Arial" w:eastAsia="Arial" w:hAnsi="Arial"/>
          <w:sz w:val="24"/>
          <w:szCs w:val="24"/>
        </w:rPr>
        <w:t xml:space="preserve">- анализ соответствия проекта нормативного правового акта законодательству;</w:t>
      </w:r>
    </w:p>
    <w:p>
      <w:pPr>
        <w:spacing w:after="120"/>
        <w:jc w:val="both"/>
      </w:pPr>
      <w:r>
        <w:rPr>
          <w:rFonts w:ascii="Arial" w:cs="Arial" w:eastAsia="Arial" w:hAnsi="Arial"/>
          <w:sz w:val="24"/>
          <w:szCs w:val="24"/>
        </w:rPr>
        <w:t xml:space="preserve">- наличие источников его финансирования.</w:t>
      </w:r>
    </w:p>
    <w:p>
      <w:pPr>
        <w:spacing w:after="120"/>
        <w:jc w:val="both"/>
      </w:pPr>
      <w:r>
        <w:rPr>
          <w:rFonts w:ascii="Arial" w:cs="Arial" w:eastAsia="Arial" w:hAnsi="Arial"/>
          <w:sz w:val="24"/>
          <w:szCs w:val="24"/>
        </w:rPr>
        <w:t xml:space="preserve">В этой связи необходимо отметить, что прилагаемая к проекту Закона справка-обоснование не соответствует требованиям вышеуказанного Закона, в частности, отсутствует информация об анализе соответствия проекта нормативного правового акта законодательству.</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внесении дополнений и изменений в некоторые законодательные акты Кыргызской Республики (об ограничении оборота алкогольных напитков)" с учетом вышеотмеченных замечаний и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0t28r7g41ajbrmbdc3a">
      <w:r>
        <w:rPr>
          <w:rFonts w:ascii="Arial" w:cs="Arial" w:eastAsia="Arial" w:hAnsi="Arial"/>
          <w:color w:val="132D3F"/>
          <w:sz w:val="16"/>
          <w:szCs w:val="16"/>
          <w:u w:val="single"/>
        </w:rPr>
        <w:t xml:space="preserve">dalil.kg/document/98071</w:t>
      </w:r>
    </w:hyperlink>
  </w:p>
  <w:p>
    <w:pPr>
      <w:spacing w:after="0" w:before="40"/>
      <w:jc w:val="center"/>
    </w:pPr>
    <w:hyperlink w:history="1" r:id="rIdna86boccc9re5obqirp2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9udaujomkyvgxdhze2tc" Type="http://schemas.openxmlformats.org/officeDocument/2006/relationships/hyperlink" Target="https://dalil.kg/document/159126" TargetMode="External"/><Relationship Id="rIdqhxabhj9kspjuchfwnqsb" Type="http://schemas.openxmlformats.org/officeDocument/2006/relationships/hyperlink" Target="https://dalil.kg/document/203685" TargetMode="External"/><Relationship Id="rIdhlw3wpfzq8gr-7drmzhn1" Type="http://schemas.openxmlformats.org/officeDocument/2006/relationships/hyperlink" Target="https://dalil.kg/document/98071#p1" TargetMode="External"/><Relationship Id="rId2aufl9huhx4qcoaowivgm" Type="http://schemas.openxmlformats.org/officeDocument/2006/relationships/hyperlink" Target="https://dalil.kg/document/9807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0t28r7g41ajbrmbdc3a" Type="http://schemas.openxmlformats.org/officeDocument/2006/relationships/hyperlink" Target="https://dalil.kg/document/98071" TargetMode="External"/><Relationship Id="rIdna86boccc9re5obqirp2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2026-09-24T00:01:50.319Z</dcterms:created>
  <dcterms:modified xsi:type="dcterms:W3CDTF">2026-09-24T00:01:50.319Z</dcterms:modified>
</cp:coreProperties>
</file>

<file path=docProps/custom.xml><?xml version="1.0" encoding="utf-8"?>
<Properties xmlns="http://schemas.openxmlformats.org/officeDocument/2006/custom-properties" xmlns:vt="http://schemas.openxmlformats.org/officeDocument/2006/docPropsVTypes"/>
</file>