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m42myelbjjnbv5wci6h3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декабря 2015 года № 846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 Закона Кыргызской Республики "О внесении изменения в Кодекс Кыргызской Республики об административной ответственности"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</w:t>
      </w:r>
      <w:hyperlink w:history="1" r:id="rIdvqq6tozz3lf-fo6f1vh-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xelaa15kznni9phmup99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внесении изменения в </w:t>
      </w:r>
      <w:hyperlink w:history="1" r:id="rId6wp6625mqhjmfrh-yofo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ответственности", инициированный депутатом Жогорку Кенеша Кыргызской Республики Бекешевым Д.Д.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</w:t>
      </w:r>
      <w:hyperlink w:history="1" r:id="rIdi3t6-e9r9-1w7prgxxx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9 декабря 2015 года № 846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sz w:val="24"/>
          <w:szCs w:val="24"/>
        </w:rPr>
        <w:t xml:space="preserve">
 Правительства Кыргызской Республики на проект Закона Кыргызской Республики "О внесении изменения в Кодекс Кыргызской Республики об административной ответственности"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рассмотрев проект Закона Кыргызской Республики "О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ответственности", инициированный депутатом Жогорку Кенеша Кыргызской Республики Бекешевым Д.Д., отмечает следующее.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проект Закона разработан в целях реализации решения Конституционной палаты Верховного суда Кыргызской Республики по делу о проверке конституционности примечания к </w:t>
      </w:r>
      <w:r>
        <w:rPr>
          <w:rFonts w:ascii="Arial" w:cs="Arial" w:eastAsia="Arial" w:hAnsi="Arial"/>
          <w:sz w:val="24"/>
          <w:szCs w:val="24"/>
        </w:rPr>
        <w:t xml:space="preserve">статье 228</w:t>
      </w:r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об административной ответственности (далее - Кодекс) и </w:t>
      </w:r>
      <w:r>
        <w:rPr>
          <w:rFonts w:ascii="Arial" w:cs="Arial" w:eastAsia="Arial" w:hAnsi="Arial"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Перечня</w:t>
      </w:r>
      <w:r>
        <w:rPr>
          <w:rFonts w:ascii="Arial" w:cs="Arial" w:eastAsia="Arial" w:hAnsi="Arial"/>
          <w:sz w:val="24"/>
          <w:szCs w:val="24"/>
        </w:rPr>
        <w:t xml:space="preserve"> специальных автотранспортных средств, требующих наличия ограниченного обзора - тонирования (покрытия) передних боковых стекол автомобиля" от 21 февраля 2011 года № 59, в связи с обращением граждан Бекешева Д.Д. и Турдубекова У.Б.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Проектом Закона предусматривается внесение изменения в примечание </w:t>
      </w:r>
      <w:r>
        <w:rPr>
          <w:rFonts w:ascii="Arial" w:cs="Arial" w:eastAsia="Arial" w:hAnsi="Arial"/>
          <w:sz w:val="24"/>
          <w:szCs w:val="24"/>
        </w:rPr>
        <w:t xml:space="preserve">статьи 228</w:t>
      </w:r>
      <w:r>
        <w:rPr>
          <w:rFonts w:ascii="Arial" w:cs="Arial" w:eastAsia="Arial" w:hAnsi="Arial"/>
          <w:sz w:val="24"/>
          <w:szCs w:val="24"/>
        </w:rPr>
        <w:t xml:space="preserve"> Кодекса, в действующей редакции которого установлено, что Правительство Кыргызской Республики определяет </w:t>
      </w:r>
      <w:r>
        <w:rPr>
          <w:rFonts w:ascii="Arial" w:cs="Arial" w:eastAsia="Arial" w:hAnsi="Arial"/>
          <w:sz w:val="24"/>
          <w:szCs w:val="24"/>
        </w:rPr>
        <w:t xml:space="preserve">Перечень</w:t>
      </w:r>
      <w:r>
        <w:rPr>
          <w:rFonts w:ascii="Arial" w:cs="Arial" w:eastAsia="Arial" w:hAnsi="Arial"/>
          <w:sz w:val="24"/>
          <w:szCs w:val="24"/>
        </w:rPr>
        <w:t xml:space="preserve"> специальных автомашин, на которые не распространяется запрет на нанесение тонирующего покрытия на лобовое и боковые стекла передних дверей.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вышеназванного решения Конституционной палаты Верховного суда Кыргызской Республики, необходимо законодательно в </w:t>
      </w:r>
      <w:r>
        <w:rPr>
          <w:rFonts w:ascii="Arial" w:cs="Arial" w:eastAsia="Arial" w:hAnsi="Arial"/>
          <w:sz w:val="24"/>
          <w:szCs w:val="24"/>
        </w:rPr>
        <w:t xml:space="preserve">статье 228</w:t>
      </w:r>
      <w:r>
        <w:rPr>
          <w:rFonts w:ascii="Arial" w:cs="Arial" w:eastAsia="Arial" w:hAnsi="Arial"/>
          <w:sz w:val="24"/>
          <w:szCs w:val="24"/>
        </w:rPr>
        <w:t xml:space="preserve"> Кодекса определить исчерпывающий перечень специальных автотранспортных средств, без возможности его расширения каким-либо иным государственным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предлагаемая редакция примечания требует конкретизации изложенной в нем нормы, в части ее распространения исключительно на часть 4 </w:t>
      </w:r>
      <w:r>
        <w:rPr>
          <w:rFonts w:ascii="Arial" w:cs="Arial" w:eastAsia="Arial" w:hAnsi="Arial"/>
          <w:sz w:val="24"/>
          <w:szCs w:val="24"/>
        </w:rPr>
        <w:t xml:space="preserve">статьи 228</w:t>
      </w:r>
      <w:r>
        <w:rPr>
          <w:rFonts w:ascii="Arial" w:cs="Arial" w:eastAsia="Arial" w:hAnsi="Arial"/>
          <w:sz w:val="24"/>
          <w:szCs w:val="24"/>
        </w:rPr>
        <w:t xml:space="preserve">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предлагаем примечание к </w:t>
      </w:r>
      <w:r>
        <w:rPr>
          <w:rFonts w:ascii="Arial" w:cs="Arial" w:eastAsia="Arial" w:hAnsi="Arial"/>
          <w:sz w:val="24"/>
          <w:szCs w:val="24"/>
        </w:rPr>
        <w:t xml:space="preserve">статье 228</w:t>
      </w:r>
      <w:r>
        <w:rPr>
          <w:rFonts w:ascii="Arial" w:cs="Arial" w:eastAsia="Arial" w:hAnsi="Arial"/>
          <w:sz w:val="24"/>
          <w:szCs w:val="24"/>
        </w:rPr>
        <w:t xml:space="preserve"> Кодекса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"Примечание. Требования части 4 настоящей статьи не распространяются на служебные автотранспортные средства лиц, занимающих политические должности и являющихся объектами государственной охраны, а также автотранспортные средства, обеспечивающие их сопровождение (эскортирование).".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изложенного Правительство Кыргызской Республики поддерживает принятие представленного проекта Закона Кыргызской Республики "О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ответственности", инициированный депутатом Жогорку Кенеша Кыргызской Республики Бекешевым Д.Д., при условии его доработки с учетом вышеуказанного предложения.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5_xsne47amdxnv-tlr7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dalil.kg/document/98238</w:t>
      </w:r>
    </w:hyperlink>
  </w:p>
  <w:p>
    <w:pPr>
      <w:spacing w:after="0" w:before="40"/>
      <w:jc w:val="center"/>
    </w:pPr>
    <w:hyperlink w:history="1" r:id="rIdxfavsg3nxzy4bwoajlek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42myelbjjnbv5wci6h3v" Type="http://schemas.openxmlformats.org/officeDocument/2006/relationships/hyperlink" Target="https://dalil.kg/document/159126" TargetMode="External"/><Relationship Id="rIdvqq6tozz3lf-fo6f1vh-c" Type="http://schemas.openxmlformats.org/officeDocument/2006/relationships/hyperlink" Target="https://dalil.kg/document/202913" TargetMode="External"/><Relationship Id="rIdxelaa15kznni9phmup997" Type="http://schemas.openxmlformats.org/officeDocument/2006/relationships/hyperlink" Target="https://dalil.kg/document/98238#p1" TargetMode="External"/><Relationship Id="rId6wp6625mqhjmfrh-yofo4" Type="http://schemas.openxmlformats.org/officeDocument/2006/relationships/hyperlink" Target="https://dalil.kg/document/6" TargetMode="External"/><Relationship Id="rIdi3t6-e9r9-1w7prgxxxad" Type="http://schemas.openxmlformats.org/officeDocument/2006/relationships/hyperlink" Target="https://dalil.kg/document/9823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5_xsne47amdxnv-tlr7e" Type="http://schemas.openxmlformats.org/officeDocument/2006/relationships/hyperlink" Target="https://dalil.kg/document/98238" TargetMode="External"/><Relationship Id="rIdxfavsg3nxzy4bwoajlek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2026-09-25T05:08:44.159Z</dcterms:created>
  <dcterms:modified xsi:type="dcterms:W3CDTF">2026-09-25T05:08:44.159Z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