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bqyvffgzoiisc_819crf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ноября 2020 года № 551</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bsmsu8ksx9c1metklizc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2015 года № 867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Координационном комитете по адаптации, реализации и мониторингу ЦУР до 2030 года в Кыргызской Республике</w:t>
      </w:r>
    </w:p>
    <w:p>
      <w:pPr>
        <w:spacing w:after="480"/>
        <w:jc w:val="center"/>
      </w:pPr>
      <w:r>
        <w:rPr>
          <w:rFonts w:ascii="Arial" w:cs="Arial" w:eastAsia="Arial" w:hAnsi="Arial"/>
          <w:i/>
          <w:iCs/>
          <w:sz w:val="24"/>
          <w:szCs w:val="24"/>
        </w:rPr>
        <w:t xml:space="preserve">(В редакции </w:t>
      </w:r>
      <w:hyperlink w:history="1" r:id="rIdyrdhnuoczt5alovsbma4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 сентября 2016 года N 475)</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Координационный комитет по адаптации, реализации и мониторингу ЦУР до 2030 года в Кыргызской Республике (далее - Комитет) является консультативно-совещательным органом, обеспечивающим координацию деятельности государственных органов, полномочных представителей Правительства Кыргызской Республики в областях и органов местного самоуправления, представителей гражданского общества, вовлеченных в адаптацию, реализацию и мониторинг мероприятий по достижению ЦУР.</w:t>
      </w:r>
    </w:p>
    <w:p>
      <w:pPr>
        <w:spacing w:after="60"/>
        <w:ind w:firstLine="567"/>
        <w:jc w:val="both"/>
      </w:pPr>
      <w:r>
        <w:rPr>
          <w:rFonts w:ascii="Arial" w:cs="Arial" w:eastAsia="Arial" w:hAnsi="Arial"/>
          <w:sz w:val="24"/>
          <w:szCs w:val="24"/>
        </w:rPr>
        <w:t xml:space="preserve">2. Состав Комитета утверждается решением Премьер-министра Кыргызской Республики. В состав Комитета входят представители государственных органов исполнительной власти, комитетов Жогорку Кенеша Кыргызской Республики (по согласованию), секретариата Национального совета по устойчивому развитию Кыргызской Республики (по согласованию), международных организаций (по согласованию). Председателем Комитета является Премьер-министр Кыргызской Республики.</w:t>
      </w:r>
    </w:p>
    <w:p>
      <w:pPr>
        <w:spacing w:after="60"/>
        <w:ind w:firstLine="567"/>
        <w:jc w:val="both"/>
      </w:pPr>
      <w:r>
        <w:rPr>
          <w:rFonts w:ascii="Arial" w:cs="Arial" w:eastAsia="Arial" w:hAnsi="Arial"/>
          <w:sz w:val="24"/>
          <w:szCs w:val="24"/>
        </w:rPr>
        <w:t xml:space="preserve">3. Председатель Комитета при необходимости вправе приглашать для участия на заседаниях Комитета руководителей и сотрудников государственных органов, а также по предварительному согласованию представителей гражданского общества, международных организаций и стран-доноров, а также неправительственных организаций и других партнеров по адаптации, реализации и мониторингу ЦУР и заслушивать их мнения и предложения по адаптации, реализации и мониторингу ЦУР.</w:t>
      </w:r>
    </w:p>
    <w:p>
      <w:pPr>
        <w:spacing w:after="60"/>
        <w:ind w:firstLine="567"/>
        <w:jc w:val="both"/>
      </w:pPr>
      <w:r>
        <w:rPr>
          <w:rFonts w:ascii="Arial" w:cs="Arial" w:eastAsia="Arial" w:hAnsi="Arial"/>
          <w:sz w:val="24"/>
          <w:szCs w:val="24"/>
        </w:rPr>
        <w:t xml:space="preserve">4. Председатель Комитета при необходимости вправе инициировать и выносить наиболее значимые вопросы по адаптации, реализации и мониторингу ЦУР на заседания Национального Совета по устойчивому развитию при Президенте Кыргызской Республики и Жогорку Кенеша Кыргызской Республики.</w:t>
      </w:r>
    </w:p>
    <w:p>
      <w:pPr>
        <w:spacing w:after="60"/>
        <w:ind w:firstLine="567"/>
        <w:jc w:val="both"/>
      </w:pPr>
      <w:r>
        <w:rPr>
          <w:rFonts w:ascii="Arial" w:cs="Arial" w:eastAsia="Arial" w:hAnsi="Arial"/>
          <w:i/>
          <w:iCs/>
          <w:sz w:val="24"/>
          <w:szCs w:val="24"/>
        </w:rPr>
        <w:t xml:space="preserve">5. (Утратил силу в соответствии с </w:t>
      </w:r>
      <w:hyperlink w:history="1" r:id="rIdr4vmwy4bgjnyfopvcjv9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 сентября 2016 года N 475)</w:t>
      </w:r>
    </w:p>
    <w:p>
      <w:pPr>
        <w:spacing w:after="200" w:before="200"/>
        <w:jc w:val="center"/>
      </w:pPr>
      <w:r>
        <w:rPr>
          <w:rFonts w:ascii="Arial" w:cs="Arial" w:eastAsia="Arial" w:hAnsi="Arial"/>
          <w:b/>
          <w:bCs/>
          <w:sz w:val="24"/>
          <w:szCs w:val="24"/>
        </w:rPr>
        <w:t xml:space="preserve">2. Цели и задачи Комитета</w:t>
      </w:r>
    </w:p>
    <w:p>
      <w:pPr>
        <w:spacing w:after="60"/>
        <w:ind w:firstLine="567"/>
        <w:jc w:val="both"/>
      </w:pPr>
      <w:r>
        <w:rPr>
          <w:rFonts w:ascii="Arial" w:cs="Arial" w:eastAsia="Arial" w:hAnsi="Arial"/>
          <w:sz w:val="24"/>
          <w:szCs w:val="24"/>
        </w:rPr>
        <w:t xml:space="preserve">6. Целевыми направлениями деятельности Комитета являются координация и содействие полной и своевременной реализации мер, направленных на адаптацию, реализацию и мониторинг достижения ЦУР, со стороны национальных партнеров - министерств, государственных комитетов, административных ведомств, иных органов исполнительной власти, полномочных представителей Правительства Кыргызской Республики в областях и других организаций и лиц, вовлеченных в процесс адаптации, реализации и мониторинга достижения ЦУР.</w:t>
      </w:r>
    </w:p>
    <w:p>
      <w:pPr>
        <w:spacing w:after="60"/>
        <w:ind w:firstLine="567"/>
        <w:jc w:val="both"/>
      </w:pPr>
      <w:r>
        <w:rPr>
          <w:rFonts w:ascii="Arial" w:cs="Arial" w:eastAsia="Arial" w:hAnsi="Arial"/>
          <w:sz w:val="24"/>
          <w:szCs w:val="24"/>
        </w:rPr>
        <w:t xml:space="preserve">7. Комитет в соответствии с целевыми направлениями деятельности:</w:t>
      </w:r>
    </w:p>
    <w:p>
      <w:pPr>
        <w:spacing w:after="60"/>
        <w:ind w:firstLine="567"/>
        <w:jc w:val="both"/>
      </w:pPr>
      <w:r>
        <w:rPr>
          <w:rFonts w:ascii="Arial" w:cs="Arial" w:eastAsia="Arial" w:hAnsi="Arial"/>
          <w:sz w:val="24"/>
          <w:szCs w:val="24"/>
        </w:rPr>
        <w:t xml:space="preserve">- содействует созданию государственной институциональной системы по адаптации, реализации и мониторингу достижения ЦУР;</w:t>
      </w:r>
    </w:p>
    <w:p>
      <w:pPr>
        <w:spacing w:after="60"/>
        <w:ind w:firstLine="567"/>
        <w:jc w:val="both"/>
      </w:pPr>
      <w:r>
        <w:rPr>
          <w:rFonts w:ascii="Arial" w:cs="Arial" w:eastAsia="Arial" w:hAnsi="Arial"/>
          <w:sz w:val="24"/>
          <w:szCs w:val="24"/>
        </w:rPr>
        <w:t xml:space="preserve">- содействует межсекторальному взаимодействию министерств, государственных комитетов и административных ведомств, вовлеченных в процесс адаптации, реализации и мониторинга достижения ЦУР;</w:t>
      </w:r>
    </w:p>
    <w:p>
      <w:pPr>
        <w:spacing w:after="60"/>
        <w:ind w:firstLine="567"/>
        <w:jc w:val="both"/>
      </w:pPr>
      <w:r>
        <w:rPr>
          <w:rFonts w:ascii="Arial" w:cs="Arial" w:eastAsia="Arial" w:hAnsi="Arial"/>
          <w:sz w:val="24"/>
          <w:szCs w:val="24"/>
        </w:rPr>
        <w:t xml:space="preserve">- координирует деятельность государственных органов исполнительной власти, полномочных представителей Правительства Кыргызской Республики в областях, и других организаций и лиц, вовлеченных в процесс адаптации, реализации и мониторинга достижения ЦУР;</w:t>
      </w:r>
    </w:p>
    <w:p>
      <w:pPr>
        <w:spacing w:after="60"/>
        <w:ind w:firstLine="567"/>
        <w:jc w:val="both"/>
      </w:pPr>
      <w:r>
        <w:rPr>
          <w:rFonts w:ascii="Arial" w:cs="Arial" w:eastAsia="Arial" w:hAnsi="Arial"/>
          <w:sz w:val="24"/>
          <w:szCs w:val="24"/>
        </w:rPr>
        <w:t xml:space="preserve">- периодически заслушивает на своих заседаниях информацию государственных органов исполнительной власти по соответствующим мерам адаптации, реализации и мониторингу достижения ЦУР;</w:t>
      </w:r>
    </w:p>
    <w:p>
      <w:pPr>
        <w:spacing w:after="60"/>
        <w:ind w:firstLine="567"/>
        <w:jc w:val="both"/>
      </w:pPr>
      <w:r>
        <w:rPr>
          <w:rFonts w:ascii="Arial" w:cs="Arial" w:eastAsia="Arial" w:hAnsi="Arial"/>
          <w:sz w:val="24"/>
          <w:szCs w:val="24"/>
        </w:rPr>
        <w:t xml:space="preserve">- содействует укреплению партнерства между всеми участниками, вовлеченными в процесс адаптации, реализации и мониторинга достижения ЦУР;</w:t>
      </w:r>
    </w:p>
    <w:p>
      <w:pPr>
        <w:spacing w:after="60"/>
        <w:ind w:firstLine="567"/>
        <w:jc w:val="both"/>
      </w:pPr>
      <w:r>
        <w:rPr>
          <w:rFonts w:ascii="Arial" w:cs="Arial" w:eastAsia="Arial" w:hAnsi="Arial"/>
          <w:sz w:val="24"/>
          <w:szCs w:val="24"/>
        </w:rPr>
        <w:t xml:space="preserve">- содействует широкому освещению в средствах массовой информации хода реализации и достигнутых результатов совместной деятельности по адаптации, реализации и мониторингу достижения ЦУР.</w:t>
      </w:r>
    </w:p>
    <w:p>
      <w:pPr>
        <w:spacing w:after="200" w:before="200"/>
        <w:jc w:val="center"/>
      </w:pPr>
      <w:r>
        <w:rPr>
          <w:rFonts w:ascii="Arial" w:cs="Arial" w:eastAsia="Arial" w:hAnsi="Arial"/>
          <w:b/>
          <w:bCs/>
          <w:sz w:val="24"/>
          <w:szCs w:val="24"/>
        </w:rPr>
        <w:t xml:space="preserve">3. Права Комитета</w:t>
      </w:r>
    </w:p>
    <w:p>
      <w:pPr>
        <w:spacing w:after="60"/>
        <w:ind w:firstLine="567"/>
        <w:jc w:val="both"/>
      </w:pPr>
      <w:r>
        <w:rPr>
          <w:rFonts w:ascii="Arial" w:cs="Arial" w:eastAsia="Arial" w:hAnsi="Arial"/>
          <w:sz w:val="24"/>
          <w:szCs w:val="24"/>
        </w:rPr>
        <w:t xml:space="preserve">8. Комитет имеет право:</w:t>
      </w:r>
    </w:p>
    <w:p>
      <w:pPr>
        <w:spacing w:after="60"/>
        <w:ind w:firstLine="567"/>
        <w:jc w:val="both"/>
      </w:pPr>
      <w:r>
        <w:rPr>
          <w:rFonts w:ascii="Arial" w:cs="Arial" w:eastAsia="Arial" w:hAnsi="Arial"/>
          <w:sz w:val="24"/>
          <w:szCs w:val="24"/>
        </w:rPr>
        <w:t xml:space="preserve">- рассматривать вопросы, связанные с решением задач по адаптации, реализации и мониторингу достижения ЦУР;</w:t>
      </w:r>
    </w:p>
    <w:p>
      <w:pPr>
        <w:spacing w:after="60"/>
        <w:ind w:firstLine="567"/>
        <w:jc w:val="both"/>
      </w:pPr>
      <w:r>
        <w:rPr>
          <w:rFonts w:ascii="Arial" w:cs="Arial" w:eastAsia="Arial" w:hAnsi="Arial"/>
          <w:sz w:val="24"/>
          <w:szCs w:val="24"/>
        </w:rPr>
        <w:t xml:space="preserve">- заслушивать сообщения лиц, ответственных за решение задач по адаптации, реализации и мониторингу достижения ЦУР;</w:t>
      </w:r>
    </w:p>
    <w:p>
      <w:pPr>
        <w:spacing w:after="60"/>
        <w:ind w:firstLine="567"/>
        <w:jc w:val="both"/>
      </w:pPr>
      <w:r>
        <w:rPr>
          <w:rFonts w:ascii="Arial" w:cs="Arial" w:eastAsia="Arial" w:hAnsi="Arial"/>
          <w:sz w:val="24"/>
          <w:szCs w:val="24"/>
        </w:rPr>
        <w:t xml:space="preserve">- требовать исполнения решений Комитета от министерств, государственных комитетов, иных органов исполнительной власти и других ответственных лиц - национальных партнеров по достижению ЦУР.</w:t>
      </w:r>
    </w:p>
    <w:p>
      <w:pPr>
        <w:spacing w:after="200" w:before="200"/>
        <w:jc w:val="center"/>
      </w:pPr>
      <w:r>
        <w:rPr>
          <w:rFonts w:ascii="Arial" w:cs="Arial" w:eastAsia="Arial" w:hAnsi="Arial"/>
          <w:b/>
          <w:bCs/>
          <w:sz w:val="24"/>
          <w:szCs w:val="24"/>
        </w:rPr>
        <w:t xml:space="preserve">4. Организация работы Комитета</w:t>
      </w:r>
    </w:p>
    <w:p>
      <w:pPr>
        <w:spacing w:after="60"/>
        <w:ind w:firstLine="567"/>
        <w:jc w:val="both"/>
      </w:pPr>
      <w:r>
        <w:rPr>
          <w:rFonts w:ascii="Arial" w:cs="Arial" w:eastAsia="Arial" w:hAnsi="Arial"/>
          <w:sz w:val="24"/>
          <w:szCs w:val="24"/>
        </w:rPr>
        <w:t xml:space="preserve">9. Рассмотрение вопросов и принятие по ним решений проводится на заседаниях Комитета.</w:t>
      </w:r>
    </w:p>
    <w:p>
      <w:pPr>
        <w:spacing w:after="60"/>
        <w:ind w:firstLine="567"/>
        <w:jc w:val="both"/>
      </w:pPr>
      <w:r>
        <w:rPr>
          <w:rFonts w:ascii="Arial" w:cs="Arial" w:eastAsia="Arial" w:hAnsi="Arial"/>
          <w:sz w:val="24"/>
          <w:szCs w:val="24"/>
        </w:rPr>
        <w:t xml:space="preserve">10. Заседания Комитета проводятся по мере необходимости, но не реже одного раза в квартал. Заседания Комитета правомочно при присутствии не менее двух третьей членов Комитета. Повестку дня определяет председатель Комитета.</w:t>
      </w:r>
    </w:p>
    <w:p>
      <w:pPr>
        <w:spacing w:after="60"/>
        <w:ind w:firstLine="567"/>
        <w:jc w:val="both"/>
      </w:pPr>
      <w:r>
        <w:rPr>
          <w:rFonts w:ascii="Arial" w:cs="Arial" w:eastAsia="Arial" w:hAnsi="Arial"/>
          <w:sz w:val="24"/>
          <w:szCs w:val="24"/>
        </w:rPr>
        <w:t xml:space="preserve">11. Решения Комитета принимаются простым большинством голосов от общего состава Комитета.</w:t>
      </w:r>
    </w:p>
    <w:p>
      <w:pPr>
        <w:spacing w:after="60"/>
        <w:ind w:firstLine="567"/>
        <w:jc w:val="both"/>
      </w:pPr>
      <w:r>
        <w:rPr>
          <w:rFonts w:ascii="Arial" w:cs="Arial" w:eastAsia="Arial" w:hAnsi="Arial"/>
          <w:sz w:val="24"/>
          <w:szCs w:val="24"/>
        </w:rPr>
        <w:t xml:space="preserve">12. В отсутствие члена Комитета его функциональные обязанности в Комитете возлагаются на уполномоченное им лицо.</w:t>
      </w:r>
    </w:p>
    <w:p>
      <w:pPr>
        <w:spacing w:after="60"/>
        <w:ind w:firstLine="567"/>
        <w:jc w:val="both"/>
      </w:pPr>
      <w:r>
        <w:rPr>
          <w:rFonts w:ascii="Arial" w:cs="Arial" w:eastAsia="Arial" w:hAnsi="Arial"/>
          <w:sz w:val="24"/>
          <w:szCs w:val="24"/>
        </w:rPr>
        <w:t xml:space="preserve">13. Вопросы, выносимые на рассмотрение Комитета, подготавливаются руководителями государственных органов исполнительной власти, вовлеченных в процесс адаптации, реализации и мониторинга индикаторов достижения ЦУР.</w:t>
      </w:r>
    </w:p>
    <w:p>
      <w:pPr>
        <w:spacing w:after="60"/>
        <w:ind w:firstLine="567"/>
        <w:jc w:val="both"/>
      </w:pPr>
      <w:r>
        <w:rPr>
          <w:rFonts w:ascii="Arial" w:cs="Arial" w:eastAsia="Arial" w:hAnsi="Arial"/>
          <w:sz w:val="24"/>
          <w:szCs w:val="24"/>
        </w:rPr>
        <w:t xml:space="preserve">14. Решения Комитета оформляются в форме протоколов, подписываются председательствующим на заседании Комитета, направляются на ознакомление в организации в соответствии со списком получателей.</w:t>
      </w:r>
    </w:p>
    <w:p>
      <w:pPr>
        <w:spacing w:after="60"/>
        <w:ind w:firstLine="567"/>
        <w:jc w:val="both"/>
      </w:pPr>
      <w:r>
        <w:rPr>
          <w:rFonts w:ascii="Arial" w:cs="Arial" w:eastAsia="Arial" w:hAnsi="Arial"/>
          <w:sz w:val="24"/>
          <w:szCs w:val="24"/>
        </w:rPr>
        <w:t xml:space="preserve">15. Упразднение Комитета осуществляется решением Правительства Кыргызской Республики.</w:t>
      </w:r>
    </w:p>
    <w:p>
      <w:pPr>
        <w:spacing w:after="200" w:before="200"/>
        <w:jc w:val="center"/>
      </w:pPr>
      <w:r>
        <w:rPr>
          <w:rFonts w:ascii="Arial" w:cs="Arial" w:eastAsia="Arial" w:hAnsi="Arial"/>
          <w:b/>
          <w:bCs/>
          <w:sz w:val="24"/>
          <w:szCs w:val="24"/>
        </w:rPr>
        <w:t xml:space="preserve">5. Рабочий орган Комитета</w:t>
      </w:r>
    </w:p>
    <w:p>
      <w:pPr>
        <w:spacing w:after="60"/>
        <w:ind w:firstLine="567"/>
        <w:jc w:val="both"/>
      </w:pPr>
      <w:r>
        <w:rPr>
          <w:rFonts w:ascii="Arial" w:cs="Arial" w:eastAsia="Arial" w:hAnsi="Arial"/>
          <w:sz w:val="24"/>
          <w:szCs w:val="24"/>
        </w:rPr>
        <w:t xml:space="preserve">16. Рабочим органом Комитета (секретариатом Комитета) является отдел экономики и инвестиций Аппарата Правительства Кыргызской Республики. В задачи секретариата входят организационно-техническое, информационно-аналитическое обеспечение деятельности Комитета и осуществление контроля выполнения решений Комитета.</w:t>
      </w:r>
    </w:p>
    <w:p>
      <w:pPr>
        <w:spacing w:after="60"/>
        <w:ind w:firstLine="567"/>
        <w:jc w:val="both"/>
      </w:pPr>
      <w:r>
        <w:rPr>
          <w:rFonts w:ascii="Arial" w:cs="Arial" w:eastAsia="Arial" w:hAnsi="Arial"/>
          <w:i/>
          <w:iCs/>
          <w:sz w:val="24"/>
          <w:szCs w:val="24"/>
        </w:rPr>
        <w:t xml:space="preserve">(В редакции </w:t>
      </w:r>
      <w:hyperlink w:history="1" r:id="rIddb8ikxog0pywst8mh9ko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 сентября 2016 года N 475)</w:t>
      </w:r>
    </w:p>
    <w:p>
      <w:pPr>
        <w:spacing w:after="60"/>
        <w:ind w:firstLine="567"/>
        <w:jc w:val="both"/>
      </w:pPr>
      <w:r>
        <w:rPr>
          <w:rFonts w:ascii="Arial" w:cs="Arial" w:eastAsia="Arial" w:hAnsi="Arial"/>
          <w:sz w:val="24"/>
          <w:szCs w:val="24"/>
        </w:rPr>
        <w:t xml:space="preserve">17. Секретарем Комитета является ответственный сотрудник отдела экономики и инвестиций Аппарата Правительства Кыргызской Республики, ведающий вопросами ЦУР.</w:t>
      </w:r>
    </w:p>
    <w:p>
      <w:pPr>
        <w:spacing w:after="120"/>
        <w:ind w:firstLine="397"/>
        <w:jc w:val="both"/>
      </w:pPr>
      <w:r>
        <w:rPr>
          <w:rFonts w:ascii="Arial" w:cs="Arial" w:eastAsia="Arial" w:hAnsi="Arial"/>
          <w:i/>
          <w:iCs/>
          <w:sz w:val="24"/>
          <w:szCs w:val="24"/>
        </w:rPr>
        <w:t xml:space="preserve">(В редакции </w:t>
      </w:r>
      <w:hyperlink w:history="1" r:id="rId6eli3ttr-xwebnfgmfzvq">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2 сентября 2016 года N 475)</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wfqfkj8tw22_o4nhjtsc">
      <w:r>
        <w:rPr>
          <w:rFonts w:ascii="Arial" w:cs="Arial" w:eastAsia="Arial" w:hAnsi="Arial"/>
          <w:color w:val="132D3F"/>
          <w:sz w:val="16"/>
          <w:szCs w:val="16"/>
          <w:u w:val="single"/>
        </w:rPr>
        <w:t xml:space="preserve">dalil.kg/document/98266</w:t>
      </w:r>
    </w:hyperlink>
  </w:p>
  <w:p>
    <w:pPr>
      <w:spacing w:after="0" w:before="40"/>
      <w:jc w:val="center"/>
    </w:pPr>
    <w:hyperlink w:history="1" r:id="rIdr265zgws7hv4eqmbuynn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qyvffgzoiisc_819crfu" Type="http://schemas.openxmlformats.org/officeDocument/2006/relationships/hyperlink" Target="https://dalil.kg/document/451440" TargetMode="External"/><Relationship Id="rIdbsmsu8ksx9c1metklizcf" Type="http://schemas.openxmlformats.org/officeDocument/2006/relationships/hyperlink" Target="https://dalil.kg/document/98265" TargetMode="External"/><Relationship Id="rIdyrdhnuoczt5alovsbma4l" Type="http://schemas.openxmlformats.org/officeDocument/2006/relationships/hyperlink" Target="https://dalil.kg/document/99475" TargetMode="External"/><Relationship Id="rIdr4vmwy4bgjnyfopvcjv9z" Type="http://schemas.openxmlformats.org/officeDocument/2006/relationships/hyperlink" Target="https://dalil.kg/document/99475" TargetMode="External"/><Relationship Id="rIddb8ikxog0pywst8mh9kog" Type="http://schemas.openxmlformats.org/officeDocument/2006/relationships/hyperlink" Target="https://dalil.kg/document/99475" TargetMode="External"/><Relationship Id="rId6eli3ttr-xwebnfgmfzvq" Type="http://schemas.openxmlformats.org/officeDocument/2006/relationships/hyperlink" Target="https://dalil.kg/document/9947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wfqfkj8tw22_o4nhjtsc" Type="http://schemas.openxmlformats.org/officeDocument/2006/relationships/hyperlink" Target="https://dalil.kg/document/98266" TargetMode="External"/><Relationship Id="rIdr265zgws7hv4eqmbuynn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2026-09-25T03:18:33.423Z</dcterms:created>
  <dcterms:modified xsi:type="dcterms:W3CDTF">2026-09-25T03:18:33.423Z</dcterms:modified>
</cp:coreProperties>
</file>

<file path=docProps/custom.xml><?xml version="1.0" encoding="utf-8"?>
<Properties xmlns="http://schemas.openxmlformats.org/officeDocument/2006/custom-properties" xmlns:vt="http://schemas.openxmlformats.org/officeDocument/2006/docPropsVTypes"/>
</file>