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21 января 2026 года № 18</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yikdljzgfwk36g5lnbmg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2015 года № 889</w:t>
      </w:r>
    </w:p>
    <w:p>
      <w:pPr>
        <w:spacing w:after="400" w:before="400"/>
        <w:jc w:val="center"/>
      </w:pPr>
      <w:r>
        <w:rPr>
          <w:rFonts w:ascii="Arial" w:cs="Arial" w:eastAsia="Arial" w:hAnsi="Arial"/>
          <w:b/>
          <w:bCs/>
          <w:sz w:val="32"/>
          <w:szCs w:val="32"/>
        </w:rPr>
        <w:t xml:space="preserve">ПРАВИЛА</w:t>
      </w:r>
      <w:r>
        <w:rPr>
          <w:rFonts w:ascii="Arial" w:cs="Arial" w:eastAsia="Arial" w:hAnsi="Arial"/>
          <w:b/>
          <w:bCs/>
          <w:sz w:val="32"/>
          <w:szCs w:val="32"/>
        </w:rPr>
        <w:t xml:space="preserve">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csz324jlnwyy1pisyye2">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определяют порядок и метод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 исторический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и соответствующее следующим критериям:</w:t>
      </w:r>
    </w:p>
    <w:p>
      <w:pPr>
        <w:spacing w:after="60"/>
        <w:ind w:firstLine="567"/>
        <w:jc w:val="both"/>
      </w:pPr>
      <w:r>
        <w:rPr>
          <w:rFonts w:ascii="Arial" w:cs="Arial" w:eastAsia="Arial" w:hAnsi="Arial"/>
          <w:sz w:val="24"/>
          <w:szCs w:val="24"/>
        </w:rPr>
        <w:t xml:space="preserve">осуществляет ввоз товара в предшествующий период или в течение года, непосредственно предшествующего году, в котором установлена тарифная квота, из стран-поставщиков в таможенной процедуре "выпуск для внутреннего потребления" и в таможенном режиме "выпуск для свободного обращения";</w:t>
      </w:r>
    </w:p>
    <w:p>
      <w:pPr>
        <w:spacing w:after="60"/>
        <w:ind w:firstLine="567"/>
        <w:jc w:val="both"/>
      </w:pPr>
      <w:r>
        <w:rPr>
          <w:rFonts w:ascii="Arial" w:cs="Arial" w:eastAsia="Arial" w:hAnsi="Arial"/>
          <w:sz w:val="24"/>
          <w:szCs w:val="24"/>
        </w:rPr>
        <w:t xml:space="preserve">объем ввоза товара в течение года, непосредственно предшествующего году, в котором установлена тарифная квота, не должен быть меньше коммерчески выгодного количества;</w:t>
      </w:r>
    </w:p>
    <w:p>
      <w:pPr>
        <w:spacing w:after="60"/>
        <w:ind w:firstLine="567"/>
        <w:jc w:val="both"/>
      </w:pP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новый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не являющееся историческим поставщиком товара;</w:t>
      </w:r>
    </w:p>
    <w:p>
      <w:pPr>
        <w:spacing w:after="60"/>
        <w:ind w:firstLine="567"/>
        <w:jc w:val="both"/>
      </w:pP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страны-поставщики</w:t>
      </w:r>
      <w:r>
        <w:rPr>
          <w:rFonts w:ascii="Arial" w:cs="Arial" w:eastAsia="Arial" w:hAnsi="Arial"/>
          <w:sz w:val="24"/>
          <w:szCs w:val="24"/>
        </w:rPr>
        <w:t xml:space="preserve"> - страны, с которыми у стран-участников Евразийского экономического союза (далее - ЕАЭС) не заключены соглашения о свободной торговле, либо существуют изъятия из режима свободной торговли в отношении товара;</w:t>
      </w:r>
    </w:p>
    <w:p>
      <w:pPr>
        <w:spacing w:after="60"/>
        <w:ind w:firstLine="567"/>
        <w:jc w:val="both"/>
      </w:pPr>
      <w:r>
        <w:rPr>
          <w:rFonts w:ascii="Arial" w:cs="Arial" w:eastAsia="Arial" w:hAnsi="Arial"/>
          <w:b/>
          <w:bCs/>
          <w:sz w:val="24"/>
          <w:szCs w:val="24"/>
        </w:rPr>
        <w:t xml:space="preserve">- объем ввоза товара историческим поставщиком</w:t>
      </w:r>
      <w:r>
        <w:rPr>
          <w:rFonts w:ascii="Arial" w:cs="Arial" w:eastAsia="Arial" w:hAnsi="Arial"/>
          <w:sz w:val="24"/>
          <w:szCs w:val="24"/>
        </w:rPr>
        <w:t xml:space="preserve"> - количество товаров в натуральном выражении, происходящих из стран-поставщиков, ввезенных на территорию Кыргызской Республики в таможенной процедуре "выпуск для внутреннего потребления" и в таможенном режиме "выпуск для свободного обращения" за предшествующий период;</w:t>
      </w:r>
    </w:p>
    <w:p>
      <w:pPr>
        <w:spacing w:after="60"/>
        <w:ind w:firstLine="567"/>
        <w:jc w:val="both"/>
      </w:pPr>
      <w:r>
        <w:rPr>
          <w:rFonts w:ascii="Arial" w:cs="Arial" w:eastAsia="Arial" w:hAnsi="Arial"/>
          <w:b/>
          <w:bCs/>
          <w:sz w:val="24"/>
          <w:szCs w:val="24"/>
        </w:rPr>
        <w:t xml:space="preserve">- тарифная квота </w:t>
      </w:r>
      <w:r>
        <w:rPr>
          <w:rFonts w:ascii="Arial" w:cs="Arial" w:eastAsia="Arial" w:hAnsi="Arial"/>
          <w:sz w:val="24"/>
          <w:szCs w:val="24"/>
        </w:rPr>
        <w:t xml:space="preserve">- мера регулирования ввоза на таможенную территорию ЕАЭС отдельных видов сельскохозяйственных товаров, происходящих из третьих стран, предусматривающая применение дифференцированных ставок ввозных таможенных пошлин Единого таможенного тарифа (далее - ЕТТ) ЕАЭС в отношении товаров, ввозимых в пределах установленного количества (в натуральном или стоимостном выражении) в течение определенного периода и сверх такого количества;</w:t>
      </w:r>
    </w:p>
    <w:p>
      <w:pPr>
        <w:spacing w:after="60"/>
        <w:ind w:firstLine="567"/>
        <w:jc w:val="both"/>
      </w:pPr>
      <w:r>
        <w:rPr>
          <w:rFonts w:ascii="Arial" w:cs="Arial" w:eastAsia="Arial" w:hAnsi="Arial"/>
          <w:b/>
          <w:bCs/>
          <w:sz w:val="24"/>
          <w:szCs w:val="24"/>
        </w:rPr>
        <w:t xml:space="preserve">- объем тарифной квоты</w:t>
      </w:r>
      <w:r>
        <w:rPr>
          <w:rFonts w:ascii="Arial" w:cs="Arial" w:eastAsia="Arial" w:hAnsi="Arial"/>
          <w:sz w:val="24"/>
          <w:szCs w:val="24"/>
        </w:rPr>
        <w:t xml:space="preserve"> - количество товара в натуральном или стоимостном выражении, выделяемое для ввоза в рамках тарифной квоты, установленной решением Евразийской экономической комиссии;</w:t>
      </w:r>
    </w:p>
    <w:p>
      <w:pPr>
        <w:spacing w:after="60"/>
        <w:ind w:firstLine="567"/>
        <w:jc w:val="both"/>
      </w:pPr>
      <w:r>
        <w:rPr>
          <w:rFonts w:ascii="Arial" w:cs="Arial" w:eastAsia="Arial" w:hAnsi="Arial"/>
          <w:b/>
          <w:bCs/>
          <w:sz w:val="24"/>
          <w:szCs w:val="24"/>
        </w:rPr>
        <w:t xml:space="preserve">- товар</w:t>
      </w:r>
      <w:r>
        <w:rPr>
          <w:rFonts w:ascii="Arial" w:cs="Arial" w:eastAsia="Arial" w:hAnsi="Arial"/>
          <w:sz w:val="24"/>
          <w:szCs w:val="24"/>
        </w:rPr>
        <w:t xml:space="preserve"> - отдельные виды мяса, в отношении которых установлена тарифная квота, происходящие из стран-поставщиков;</w:t>
      </w:r>
    </w:p>
    <w:p>
      <w:pPr>
        <w:spacing w:after="60"/>
        <w:ind w:firstLine="567"/>
        <w:jc w:val="both"/>
      </w:pPr>
      <w:r>
        <w:rPr>
          <w:rFonts w:ascii="Arial" w:cs="Arial" w:eastAsia="Arial" w:hAnsi="Arial"/>
          <w:b/>
          <w:bCs/>
          <w:sz w:val="24"/>
          <w:szCs w:val="24"/>
        </w:rPr>
        <w:t xml:space="preserve">- коммерчески выгодное количество</w:t>
      </w:r>
      <w:r>
        <w:rPr>
          <w:rFonts w:ascii="Arial" w:cs="Arial" w:eastAsia="Arial" w:hAnsi="Arial"/>
          <w:sz w:val="24"/>
          <w:szCs w:val="24"/>
        </w:rPr>
        <w:t xml:space="preserve"> - объем товара весом более 25 кг;</w:t>
      </w:r>
    </w:p>
    <w:p>
      <w:pPr>
        <w:spacing w:after="60"/>
        <w:ind w:firstLine="567"/>
        <w:jc w:val="both"/>
      </w:pPr>
      <w:r>
        <w:rPr>
          <w:rFonts w:ascii="Arial" w:cs="Arial" w:eastAsia="Arial" w:hAnsi="Arial"/>
          <w:b/>
          <w:bCs/>
          <w:sz w:val="24"/>
          <w:szCs w:val="24"/>
        </w:rPr>
        <w:t xml:space="preserve">- предшествующий период</w:t>
      </w:r>
      <w:r>
        <w:rPr>
          <w:rFonts w:ascii="Arial" w:cs="Arial" w:eastAsia="Arial" w:hAnsi="Arial"/>
          <w:sz w:val="24"/>
          <w:szCs w:val="24"/>
        </w:rPr>
        <w:t xml:space="preserve"> - два года, непосредственно предшествующие году установления тарифной квоты.</w:t>
      </w:r>
    </w:p>
    <w:p>
      <w:pPr>
        <w:spacing w:after="200" w:before="200"/>
        <w:jc w:val="center"/>
      </w:pPr>
      <w:r>
        <w:rPr>
          <w:rFonts w:ascii="Arial" w:cs="Arial" w:eastAsia="Arial" w:hAnsi="Arial"/>
          <w:b/>
          <w:bCs/>
          <w:sz w:val="24"/>
          <w:szCs w:val="24"/>
        </w:rPr>
        <w:t xml:space="preserve">2. Порядок распределения объемов тарифных квот</w:t>
      </w:r>
    </w:p>
    <w:p>
      <w:pPr>
        <w:spacing w:after="60"/>
        <w:ind w:firstLine="567"/>
        <w:jc w:val="both"/>
      </w:pPr>
      <w:r>
        <w:rPr>
          <w:rFonts w:ascii="Arial" w:cs="Arial" w:eastAsia="Arial" w:hAnsi="Arial"/>
          <w:sz w:val="24"/>
          <w:szCs w:val="24"/>
        </w:rPr>
        <w:t xml:space="preserve">3. Уполномоченный орган в области развития агропромышленного комплекса ежегодно, до 1 октября года, непосредственно предшествующего году установления тарифных квот, размещает в Интернет-ресурсе информацию о наименовании товара, в отношении которого устанавливается тарифная квота, объеме тарифной квоты, определенной для исторических поставщиков, новых поставщиков, с указанием контактных данных для дачи разъяснений.</w:t>
      </w:r>
    </w:p>
    <w:p>
      <w:pPr>
        <w:spacing w:after="60"/>
        <w:ind w:firstLine="567"/>
        <w:jc w:val="both"/>
      </w:pPr>
      <w:r>
        <w:rPr>
          <w:rFonts w:ascii="Arial" w:cs="Arial" w:eastAsia="Arial" w:hAnsi="Arial"/>
          <w:sz w:val="24"/>
          <w:szCs w:val="24"/>
        </w:rPr>
        <w:t xml:space="preserve">Распределение объемов тарифных квот между историческими поставщиками и новыми поставщиками на ввоз мяса крупного рогатого скота (код ТН ВЭД ТС 0202), свинины (код ТН ВЭД ТС 0203) и мяса птицы (код ТН ВЭД ТС 0207) осуществляется в соответствии с методами распределения тарифных квот между историческими поставщиками и новыми поставщиками, определенными настоящими Правилами.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qqqqubgvr1c_moy-o1hx">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Уполномоченный орган в сфере таможенного дела ежеквартально, не позднее 15 числа месяца, следующего за отчетным кварталом, представляет в уполномоченный орган в области развития агропромышленного комплекса информацию о натуральных и стоимостных объемах ввоза мяса, в разрезе участников внешнеторговой деятельности, стран происхождения, с указанием таможенных процедур, на уровне 10 знаков Товарной номенклатуры внешнеторговой деятельности ЕАЭС (далее - ТН ВЭД ЕАЭС), классифицируемой в позициях 0202, 0203, 0207.</w:t>
      </w:r>
    </w:p>
    <w:p>
      <w:pPr>
        <w:spacing w:after="60"/>
        <w:ind w:firstLine="567"/>
        <w:jc w:val="both"/>
      </w:pPr>
      <w:r>
        <w:rPr>
          <w:rFonts w:ascii="Arial" w:cs="Arial" w:eastAsia="Arial" w:hAnsi="Arial"/>
          <w:sz w:val="24"/>
          <w:szCs w:val="24"/>
        </w:rPr>
        <w:t xml:space="preserve">Указанная информация формируется по дате выпуска товара для внутреннего потребления.</w:t>
      </w:r>
    </w:p>
    <w:p>
      <w:pPr>
        <w:spacing w:after="60"/>
        <w:ind w:firstLine="567"/>
        <w:jc w:val="both"/>
      </w:pPr>
      <w:r>
        <w:rPr>
          <w:rFonts w:ascii="Arial" w:cs="Arial" w:eastAsia="Arial" w:hAnsi="Arial"/>
          <w:sz w:val="24"/>
          <w:szCs w:val="24"/>
        </w:rPr>
        <w:t xml:space="preserve">5. Уполномоченный орган в области развития агропромышленного комплекса ежегодно, с 1 января до 31 декабря года, в котором установлена тарифная квота, осуществляет распределение ежегодно устанавливаемых объемов тарифных квот между историческими поставщиками и новыми поставщиками:</w:t>
      </w:r>
    </w:p>
    <w:p>
      <w:pPr>
        <w:spacing w:after="60"/>
        <w:ind w:firstLine="567"/>
        <w:jc w:val="both"/>
      </w:pPr>
      <w:r>
        <w:rPr>
          <w:rFonts w:ascii="Arial" w:cs="Arial" w:eastAsia="Arial" w:hAnsi="Arial"/>
          <w:sz w:val="24"/>
          <w:szCs w:val="24"/>
        </w:rPr>
        <w:t xml:space="preserve">1) историческим поставщикам:</w:t>
      </w:r>
    </w:p>
    <w:p>
      <w:pPr>
        <w:spacing w:after="60"/>
        <w:ind w:firstLine="567"/>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60"/>
        <w:ind w:firstLine="567"/>
        <w:jc w:val="both"/>
      </w:pPr>
      <w:r>
        <w:rPr>
          <w:rFonts w:ascii="Arial" w:cs="Arial" w:eastAsia="Arial" w:hAnsi="Arial"/>
          <w:sz w:val="24"/>
          <w:szCs w:val="24"/>
        </w:rPr>
        <w:t xml:space="preserve">- 70  - свинины (код ТН ВЭД ЕАЭС 0203);</w:t>
      </w:r>
    </w:p>
    <w:p>
      <w:pPr>
        <w:spacing w:after="60"/>
        <w:ind w:firstLine="567"/>
        <w:jc w:val="both"/>
      </w:pPr>
      <w:r>
        <w:rPr>
          <w:rFonts w:ascii="Arial" w:cs="Arial" w:eastAsia="Arial" w:hAnsi="Arial"/>
          <w:sz w:val="24"/>
          <w:szCs w:val="24"/>
        </w:rPr>
        <w:t xml:space="preserve">- 70% - мяса птицы (код ТН ВЭД ЕАЭС 0207);</w:t>
      </w:r>
    </w:p>
    <w:p>
      <w:pPr>
        <w:spacing w:after="60"/>
        <w:ind w:firstLine="567"/>
        <w:jc w:val="both"/>
      </w:pPr>
      <w:r>
        <w:rPr>
          <w:rFonts w:ascii="Arial" w:cs="Arial" w:eastAsia="Arial" w:hAnsi="Arial"/>
          <w:sz w:val="24"/>
          <w:szCs w:val="24"/>
        </w:rPr>
        <w:t xml:space="preserve">2) новым поставщикам:</w:t>
      </w:r>
    </w:p>
    <w:p>
      <w:pPr>
        <w:spacing w:after="60"/>
        <w:ind w:firstLine="567"/>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60"/>
        <w:ind w:firstLine="567"/>
        <w:jc w:val="both"/>
      </w:pPr>
      <w:r>
        <w:rPr>
          <w:rFonts w:ascii="Arial" w:cs="Arial" w:eastAsia="Arial" w:hAnsi="Arial"/>
          <w:sz w:val="24"/>
          <w:szCs w:val="24"/>
        </w:rPr>
        <w:t xml:space="preserve">- 30% - свинины (код ТН ВЭД ЕАЭС 0203);</w:t>
      </w:r>
    </w:p>
    <w:p>
      <w:pPr>
        <w:spacing w:after="60"/>
        <w:ind w:firstLine="567"/>
        <w:jc w:val="both"/>
      </w:pPr>
      <w:r>
        <w:rPr>
          <w:rFonts w:ascii="Arial" w:cs="Arial" w:eastAsia="Arial" w:hAnsi="Arial"/>
          <w:sz w:val="24"/>
          <w:szCs w:val="24"/>
        </w:rPr>
        <w:t xml:space="preserve">- 30% - мяса птицы (код ТН ВЭД ЕАЭС 0207).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8tng7fbxhbix5sbl_uxv">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Распределение объемов тарифных квот является основанием для выдачи экспертного заключения уполномоченного органа в области развития агропромышленного комплекса.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4puzjaa3t8n6mw1br4x">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Распределение объемов тарифных квот между историческими поставщиками и новыми поставщиками осуществляется на основании заявки на выделение квоты на импорт по форме согласно приложению к настоящим Правилам. К заявке прилагаются следующие документы, заверенные печатью и подписью поставщика: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либо свидетельства о государственной регистрации индивидуального предпринимателя (физического лица);</w:t>
      </w:r>
    </w:p>
    <w:p>
      <w:pPr>
        <w:spacing w:after="60"/>
        <w:ind w:firstLine="567"/>
        <w:jc w:val="both"/>
      </w:pPr>
      <w:r>
        <w:rPr>
          <w:rFonts w:ascii="Arial" w:cs="Arial" w:eastAsia="Arial" w:hAnsi="Arial"/>
          <w:sz w:val="24"/>
          <w:szCs w:val="24"/>
        </w:rPr>
        <w:t xml:space="preserve">- копия внешнеторгового договора (контракта), с обязательным переводом на русский язык и наличием реквизитов (номер контракта и дата составления контракта), приложения и (или) дополнения к нему, а в случае отсутствия внешнеторгового договора (контракта) - копия иного документа, подтверждающего намерения сторон;</w:t>
      </w:r>
    </w:p>
    <w:p>
      <w:pPr>
        <w:spacing w:after="60"/>
        <w:ind w:firstLine="567"/>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60"/>
        <w:ind w:firstLine="567"/>
        <w:jc w:val="both"/>
      </w:pPr>
      <w:r>
        <w:rPr>
          <w:rFonts w:ascii="Arial" w:cs="Arial" w:eastAsia="Arial" w:hAnsi="Arial"/>
          <w:sz w:val="24"/>
          <w:szCs w:val="24"/>
        </w:rPr>
        <w:t xml:space="preserve">Итоги распределения объемов тарифных квот между поставщиками утверждаются Протоколом комиссии, созданной приказом уполномоченного органа в области развития агропромышленного комплекса.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_85pye7n9oxja34tu7fh">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Метод распределения тарифных квот между историческими поставщиками</w:t>
      </w:r>
    </w:p>
    <w:p>
      <w:pPr>
        <w:spacing w:after="60"/>
        <w:ind w:firstLine="567"/>
        <w:jc w:val="both"/>
      </w:pPr>
      <w:r>
        <w:rPr>
          <w:rFonts w:ascii="Arial" w:cs="Arial" w:eastAsia="Arial" w:hAnsi="Arial"/>
          <w:sz w:val="24"/>
          <w:szCs w:val="24"/>
        </w:rPr>
        <w:t xml:space="preserve">7. Распределение объемов тарифных квот между историческими поставщиками на ввоз мяса крупного рогатого скота (код ТН ВЭД ЕАЭС 0202), свинины (код ТН ВЭД ЕАЭС 0203) и мяса птицы (код ТН ВЭД ЕАЭС 0207) осуществляется в два этапа.</w:t>
      </w:r>
    </w:p>
    <w:p>
      <w:pPr>
        <w:spacing w:after="60"/>
        <w:ind w:firstLine="567"/>
        <w:jc w:val="both"/>
      </w:pPr>
      <w:r>
        <w:rPr>
          <w:rFonts w:ascii="Arial" w:cs="Arial" w:eastAsia="Arial" w:hAnsi="Arial"/>
          <w:sz w:val="24"/>
          <w:szCs w:val="24"/>
        </w:rPr>
        <w:t xml:space="preserve">(В редакции постановления Правительства КР от </w:t>
      </w:r>
      <w:hyperlink w:history="1" r:id="rIdzcmjgxfz4clxtykebjkqe">
        <w:r>
          <w:rPr>
            <w:rFonts w:ascii="Arial" w:cs="Arial" w:eastAsia="Arial" w:hAnsi="Arial"/>
            <w:color w:val="1D4ED8"/>
            <w:sz w:val="24"/>
            <w:szCs w:val="24"/>
            <w:u w:val="single"/>
          </w:rPr>
          <w:t xml:space="preserve">23 мая 2018 года № 252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Уполномоченный орган в области развития агропромышленного комплекса ежегодно:</w:t>
      </w:r>
    </w:p>
    <w:p>
      <w:pPr>
        <w:spacing w:after="60"/>
        <w:ind w:firstLine="567"/>
        <w:jc w:val="both"/>
      </w:pPr>
      <w:r>
        <w:rPr>
          <w:rFonts w:ascii="Arial" w:cs="Arial" w:eastAsia="Arial" w:hAnsi="Arial"/>
          <w:sz w:val="24"/>
          <w:szCs w:val="24"/>
        </w:rPr>
        <w:t xml:space="preserve">1) до 1 декабря года, предшествующего году установления тарифной квоты, осуществляет первый этап распределения между историческими поставщиками объемов тарифных квот, определенных для исторических поставщиков;</w:t>
      </w:r>
    </w:p>
    <w:p>
      <w:pPr>
        <w:spacing w:after="60"/>
        <w:ind w:firstLine="567"/>
        <w:jc w:val="both"/>
      </w:pPr>
      <w:r>
        <w:rPr>
          <w:rFonts w:ascii="Arial" w:cs="Arial" w:eastAsia="Arial" w:hAnsi="Arial"/>
          <w:sz w:val="24"/>
          <w:szCs w:val="24"/>
        </w:rPr>
        <w:t xml:space="preserve">2) до 1 апреля года, в котором установлена тарифная квота, осуществляет второй этап распределения между историческими поставщиками объемов тарифных квот, определенных для исторических поставщиков.</w:t>
      </w:r>
    </w:p>
    <w:p>
      <w:pPr>
        <w:spacing w:after="60"/>
        <w:ind w:firstLine="567"/>
        <w:jc w:val="both"/>
      </w:pPr>
      <w:r>
        <w:rPr>
          <w:rFonts w:ascii="Arial" w:cs="Arial" w:eastAsia="Arial" w:hAnsi="Arial"/>
          <w:sz w:val="24"/>
          <w:szCs w:val="24"/>
        </w:rPr>
        <w:t xml:space="preserve">9. В рамках первого этапа между историческими поставщиками распределяется 25 процентов от объема тарифных квот, определенного для исторических поставщиков.</w:t>
      </w:r>
    </w:p>
    <w:p>
      <w:pPr>
        <w:spacing w:after="6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товара для каждого поставщика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 - объем годовой тарифной квоты, определенный для исторических поставщиков,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историческим поставщиком за первый год предшествующего периода,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II</w:t>
      </w:r>
      <w:r>
        <w:rPr>
          <w:rFonts w:ascii="Arial" w:cs="Arial" w:eastAsia="Arial" w:hAnsi="Arial"/>
          <w:sz w:val="24"/>
          <w:szCs w:val="24"/>
        </w:rPr>
        <w:t xml:space="preserve">-9</w:t>
      </w:r>
      <w:r>
        <w:rPr>
          <w:rFonts w:ascii="Arial" w:cs="Arial" w:eastAsia="Arial" w:hAnsi="Arial"/>
          <w:sz w:val="24"/>
          <w:szCs w:val="24"/>
        </w:rPr>
        <w:t xml:space="preserve"> - объем ввоза товара историческим поставщиком за 9 месяцев года, непосредственно предшествующего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за первый год предшествующего периода всеми историческими поставщиками, непосредственно предшествующего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II</w:t>
      </w:r>
      <w:r>
        <w:rPr>
          <w:rFonts w:ascii="Arial" w:cs="Arial" w:eastAsia="Arial" w:hAnsi="Arial"/>
          <w:sz w:val="24"/>
          <w:szCs w:val="24"/>
        </w:rPr>
        <w:t xml:space="preserve">-9</w:t>
      </w:r>
      <w:r>
        <w:rPr>
          <w:rFonts w:ascii="Arial" w:cs="Arial" w:eastAsia="Arial" w:hAnsi="Arial"/>
          <w:sz w:val="24"/>
          <w:szCs w:val="24"/>
        </w:rPr>
        <w:t xml:space="preserve"> - объем ввоза товара всеми историческими поставщиками на территорию Кыргызской Республики за 9 месяцев года, непосредственно предшествующего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10. В рамках второго этапа между историческими поставщиками распределяются оставшиеся 75 процентов объемов тарифных квот, определенных для исторических поставщиков.</w:t>
      </w:r>
    </w:p>
    <w:p>
      <w:pPr>
        <w:spacing w:after="6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товара для каждого поставщика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12</w:t>
      </w:r>
      <w:r>
        <w:rPr>
          <w:rFonts w:ascii="Arial" w:cs="Arial" w:eastAsia="Arial" w:hAnsi="Arial"/>
          <w:sz w:val="24"/>
          <w:szCs w:val="24"/>
        </w:rPr>
        <w:t xml:space="preserve"> - объем тарифной квоты, распределенный историческому поставщику в рамках второго этапа, в килограммах;</w:t>
      </w:r>
    </w:p>
    <w:p>
      <w:pPr>
        <w:spacing w:after="60"/>
        <w:ind w:firstLine="567"/>
        <w:jc w:val="both"/>
      </w:pPr>
      <w:r>
        <w:rPr>
          <w:rFonts w:ascii="Arial" w:cs="Arial" w:eastAsia="Arial" w:hAnsi="Arial"/>
          <w:sz w:val="24"/>
          <w:szCs w:val="24"/>
        </w:rPr>
        <w:t xml:space="preserve">Q - объем годовой тарифной квоты, определенный для исторических поставщиков, в килограммах;</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60"/>
        <w:ind w:firstLine="567"/>
        <w:jc w:val="both"/>
      </w:pPr>
      <w:r>
        <w:rPr>
          <w:rFonts w:ascii="Arial" w:cs="Arial" w:eastAsia="Arial" w:hAnsi="Arial"/>
          <w:sz w:val="24"/>
          <w:szCs w:val="24"/>
        </w:rPr>
        <w:t xml:space="preserve">V - объем ввоза товара, осуществленного историческим поставщиком в предшествующем периоде, в килограммах;</w:t>
      </w:r>
    </w:p>
    <w:p>
      <w:pPr>
        <w:spacing w:after="60"/>
        <w:ind w:firstLine="567"/>
        <w:jc w:val="both"/>
      </w:pPr>
      <w:r>
        <w:rPr>
          <w:rFonts w:ascii="Arial" w:cs="Arial" w:eastAsia="Arial" w:hAnsi="Arial"/>
          <w:sz w:val="24"/>
          <w:szCs w:val="24"/>
        </w:rPr>
        <w:t xml:space="preserve">V' - объем ввоза товара в предшествующем периоде всеми историческими поставщиками, осуществлявшими ввоз в году, непосредственно предшествующем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11. Уполномоченный орган в области развития агропромышленного комплекса в соответствии с пунктом 10 настоящих Правил проводит распределение квот между поставщиками в течение 7 рабочих дней после окончания срока приема заявок на распределение.</w:t>
      </w:r>
    </w:p>
    <w:p>
      <w:pPr>
        <w:spacing w:after="6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поставщиками, подавшими заявку на участие в распределении остатков. К участию в распределении остатков допускаются исторические и новые поставщики.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spv8wlbbiaxrcgdnoufi">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Результаты расчетов, произведенных по формулам, установленными пунктами 9 и 10 настоящих Правил, математически округляются до целого числа (до значения килограмма).</w:t>
      </w:r>
    </w:p>
    <w:p>
      <w:pPr>
        <w:spacing w:after="60"/>
        <w:ind w:firstLine="567"/>
        <w:jc w:val="both"/>
      </w:pPr>
      <w:r>
        <w:rPr>
          <w:rFonts w:ascii="Arial" w:cs="Arial" w:eastAsia="Arial" w:hAnsi="Arial"/>
          <w:sz w:val="24"/>
          <w:szCs w:val="24"/>
        </w:rPr>
        <w:t xml:space="preserve">Если по результатам расчета полученный объем тарифной квоты для исторического поставщика меньше коммерчески выгодного количества, то данный объем распределяется между остальными историческими поставщиками.</w:t>
      </w:r>
    </w:p>
    <w:p>
      <w:pPr>
        <w:spacing w:after="60"/>
        <w:ind w:firstLine="567"/>
        <w:jc w:val="both"/>
      </w:pPr>
      <w:r>
        <w:rPr>
          <w:rFonts w:ascii="Arial" w:cs="Arial" w:eastAsia="Arial" w:hAnsi="Arial"/>
          <w:sz w:val="24"/>
          <w:szCs w:val="24"/>
        </w:rPr>
        <w:t xml:space="preserve">13. Исторические поставщики, не использовавшие выделенный объем тарифной квоты, в последующий 1 год не участвуют в распределении объемов тарифных квот.</w:t>
      </w:r>
    </w:p>
    <w:p>
      <w:pPr>
        <w:spacing w:after="60"/>
        <w:ind w:firstLine="567"/>
        <w:jc w:val="both"/>
      </w:pPr>
      <w:r>
        <w:rPr>
          <w:rFonts w:ascii="Arial" w:cs="Arial" w:eastAsia="Arial" w:hAnsi="Arial"/>
          <w:sz w:val="24"/>
          <w:szCs w:val="24"/>
        </w:rPr>
        <w:t xml:space="preserve">После распределения объемов тарифных квот, исторический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историческим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историческому поставщику объема тарифных квот.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0qzybtbw_y9hmol8thye">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Метод распределения тарифных квот между новыми поставщиками</w:t>
      </w:r>
    </w:p>
    <w:p>
      <w:pPr>
        <w:spacing w:after="60"/>
        <w:ind w:firstLine="567"/>
        <w:jc w:val="both"/>
      </w:pPr>
      <w:r>
        <w:rPr>
          <w:rFonts w:ascii="Arial" w:cs="Arial" w:eastAsia="Arial" w:hAnsi="Arial"/>
          <w:sz w:val="24"/>
          <w:szCs w:val="24"/>
        </w:rPr>
        <w:t xml:space="preserve">14. Распределение объемов тарифных квот между новыми поставщиками на ввоз мяса крупного рогатого скота (код ТН ВЭД ЕАЭС 0202), свинины (код ТН ВЭД ЕАЭС 0203) и мяса птицы (код ТН ВЭД ЕАЭС 0207) осуществляется по истечении 15 календарных дней после установления объема тарифной квоты на соответствующий год, в порядке очередности подачи заявки новыми поставщиками о выделении квоты на импорт по форме согласно приложению к настоящим Правилам, в объеме, не превышающем 15% для каждого нового поставщика от общего объема годовой тарифной квоты, определенной для новых поставщиков.</w:t>
      </w:r>
    </w:p>
    <w:p>
      <w:pPr>
        <w:spacing w:after="6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новыми поставщиками, подавшими заявку.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_ldf1mjy4wr0ycnra3o2">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Объемы тарифной квоты на ввоз, предусмотренные для новых поставщиков, распределяются до полного их исчерпания.</w:t>
      </w:r>
    </w:p>
    <w:p>
      <w:pPr>
        <w:spacing w:after="60"/>
        <w:ind w:firstLine="567"/>
        <w:jc w:val="both"/>
      </w:pPr>
      <w:r>
        <w:rPr>
          <w:rFonts w:ascii="Arial" w:cs="Arial" w:eastAsia="Arial" w:hAnsi="Arial"/>
          <w:sz w:val="24"/>
          <w:szCs w:val="24"/>
        </w:rPr>
        <w:t xml:space="preserve">16. Каждые 15 рабочих дней уполномоченный орган в области развития агропромышленного комплекса публикует на Интернет-ресурсе сведения об объемах тарифных квот на ввоз мяса крупного рогатого скота (код ТН ВЭД ЕАЭС 0202), свинины (код ТН ВЭД ЕАЭС 0203) и мяса птицы (код ТН ВЭД ЕАЭС 0207), которые были распределены, и объемах, оставшихся нераспределенными, до тех пор, пока квота не будет исчерпана.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jxrnyemy485hhod8lcik">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Новые поставщики, не использовавшие в отчетном году выделенный объем тарифной квоты, в последующий 1 год не участвуют в распределении объемов тарифных квот.</w:t>
      </w:r>
    </w:p>
    <w:p>
      <w:pPr>
        <w:spacing w:after="60"/>
        <w:ind w:firstLine="567"/>
        <w:jc w:val="both"/>
      </w:pPr>
      <w:r>
        <w:rPr>
          <w:rFonts w:ascii="Arial" w:cs="Arial" w:eastAsia="Arial" w:hAnsi="Arial"/>
          <w:sz w:val="24"/>
          <w:szCs w:val="24"/>
        </w:rPr>
        <w:t xml:space="preserve">После распределения объемов тарифных квот, новый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новым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новому поставщику объема тарифных квот.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x82rlimwv8rwqx2n42ym">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случае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у нового поставщика, объем тарифной квоты, выделяемой по данной лицензии, считается нераспределенным.</w:t>
      </w:r>
    </w:p>
    <w:p>
      <w:pPr>
        <w:spacing w:after="60"/>
        <w:ind w:firstLine="567"/>
        <w:jc w:val="both"/>
      </w:pPr>
      <w:r>
        <w:rPr>
          <w:rFonts w:ascii="Arial" w:cs="Arial" w:eastAsia="Arial" w:hAnsi="Arial"/>
          <w:sz w:val="24"/>
          <w:szCs w:val="24"/>
        </w:rPr>
        <w:t xml:space="preserve">В течение 5 рабочих дней после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сведения об объемах тарифных квот на ввоз мяса крупного рогатого скота (код ТН ВЭД ЕАЭС 0202), свинины (код ТН ВЭД ЕАЭС 0203) и (или) мяса птицы (код ТН ВЭД ЕАЭС 0207), которые имеются в наличии, размещаются на интернет-ресурсе уполномоченного органа в области развития агропромышленного комплекса.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jw5kpvzqiwukg7krivi-">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Правилам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ЗАЯВКА
 </w:t>
      </w:r>
      <w:r>
        <w:rPr>
          <w:rFonts w:ascii="Arial" w:cs="Arial" w:eastAsia="Arial" w:hAnsi="Arial"/>
          <w:sz w:val="24"/>
          <w:szCs w:val="24"/>
        </w:rPr>
        <w:t xml:space="preserve">_________________________________________________
 (полное наименование юридического лица
 или ФИО физического лица)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5hmr19wfpwrpwemzpvea2">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просит выделить квоту на импорт:</w:t>
      </w:r>
    </w:p>
    <w:p>
      <w:pPr>
        <w:spacing w:after="60"/>
        <w:ind w:firstLine="567"/>
        <w:jc w:val="both"/>
      </w:pPr>
      <w:r>
        <w:rPr>
          <w:rFonts w:ascii="Arial" w:cs="Arial" w:eastAsia="Arial" w:hAnsi="Arial"/>
          <w:sz w:val="24"/>
          <w:szCs w:val="24"/>
        </w:rPr>
        <w:t xml:space="preserve">мяса крупного рогатого скота (код ТН ВЭД ЕАЭС 0202) в объеме ________________ тонн;</w:t>
      </w:r>
    </w:p>
    <w:p>
      <w:pPr>
        <w:spacing w:after="60"/>
        <w:ind w:firstLine="567"/>
        <w:jc w:val="both"/>
      </w:pPr>
      <w:r>
        <w:rPr>
          <w:rFonts w:ascii="Arial" w:cs="Arial" w:eastAsia="Arial" w:hAnsi="Arial"/>
          <w:sz w:val="24"/>
          <w:szCs w:val="24"/>
        </w:rPr>
        <w:t xml:space="preserve">свинины (код ТН ВЭД ЕАЭС 0203) в объеме _________________ тонн;</w:t>
      </w:r>
    </w:p>
    <w:p>
      <w:pPr>
        <w:spacing w:after="60"/>
        <w:ind w:firstLine="567"/>
        <w:jc w:val="both"/>
      </w:pPr>
      <w:r>
        <w:rPr>
          <w:rFonts w:ascii="Arial" w:cs="Arial" w:eastAsia="Arial" w:hAnsi="Arial"/>
          <w:sz w:val="24"/>
          <w:szCs w:val="24"/>
        </w:rPr>
        <w:t xml:space="preserve">мяса птицы (код ТН ВЭД ЕАЭС 0207) в объеме _______________ тонн.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 (дата) для юридических лиц: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Паспортные данные для физических лиц: 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cfvniceirn9yuoye9dx">
      <w:r>
        <w:rPr>
          <w:rFonts w:ascii="Arial" w:cs="Arial" w:eastAsia="Arial" w:hAnsi="Arial"/>
          <w:color w:val="132D3F"/>
          <w:sz w:val="16"/>
          <w:szCs w:val="16"/>
          <w:u w:val="single"/>
        </w:rPr>
        <w:t xml:space="preserve">dalil.kg/document/98280</w:t>
      </w:r>
    </w:hyperlink>
  </w:p>
  <w:p>
    <w:pPr>
      <w:spacing w:after="0" w:before="40"/>
      <w:jc w:val="center"/>
    </w:pPr>
    <w:hyperlink w:history="1" r:id="rId2mrljcw6t0chb8jmxu4k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kdljzgfwk36g5lnbmgh" Type="http://schemas.openxmlformats.org/officeDocument/2006/relationships/hyperlink" Target="https://dalil.kg/document/98279" TargetMode="External"/><Relationship Id="rIdacsz324jlnwyy1pisyye2" Type="http://schemas.openxmlformats.org/officeDocument/2006/relationships/hyperlink" Target="https://dalil.kg/document/11887" TargetMode="External"/><Relationship Id="rId8qqqqubgvr1c_moy-o1hx" Type="http://schemas.openxmlformats.org/officeDocument/2006/relationships/hyperlink" Target="https://dalil.kg/document/11887" TargetMode="External"/><Relationship Id="rId98tng7fbxhbix5sbl_uxv" Type="http://schemas.openxmlformats.org/officeDocument/2006/relationships/hyperlink" Target="https://dalil.kg/document/11887" TargetMode="External"/><Relationship Id="rId-b4puzjaa3t8n6mw1br4x" Type="http://schemas.openxmlformats.org/officeDocument/2006/relationships/hyperlink" Target="https://dalil.kg/document/11887" TargetMode="External"/><Relationship Id="rIdz_85pye7n9oxja34tu7fh" Type="http://schemas.openxmlformats.org/officeDocument/2006/relationships/hyperlink" Target="https://dalil.kg/document/11887" TargetMode="External"/><Relationship Id="rIdzcmjgxfz4clxtykebjkqe" Type="http://schemas.openxmlformats.org/officeDocument/2006/relationships/hyperlink" Target="https://dalil.kg/document/11887" TargetMode="External"/><Relationship Id="rIdyspv8wlbbiaxrcgdnoufi" Type="http://schemas.openxmlformats.org/officeDocument/2006/relationships/hyperlink" Target="https://dalil.kg/document/11887" TargetMode="External"/><Relationship Id="rIdo0qzybtbw_y9hmol8thye" Type="http://schemas.openxmlformats.org/officeDocument/2006/relationships/hyperlink" Target="https://dalil.kg/document/11887" TargetMode="External"/><Relationship Id="rIde_ldf1mjy4wr0ycnra3o2" Type="http://schemas.openxmlformats.org/officeDocument/2006/relationships/hyperlink" Target="https://dalil.kg/document/11887" TargetMode="External"/><Relationship Id="rId_jxrnyemy485hhod8lcik" Type="http://schemas.openxmlformats.org/officeDocument/2006/relationships/hyperlink" Target="https://dalil.kg/document/11887" TargetMode="External"/><Relationship Id="rIdix82rlimwv8rwqx2n42ym" Type="http://schemas.openxmlformats.org/officeDocument/2006/relationships/hyperlink" Target="https://dalil.kg/document/11887" TargetMode="External"/><Relationship Id="rIdujw5kpvzqiwukg7krivi-" Type="http://schemas.openxmlformats.org/officeDocument/2006/relationships/hyperlink" Target="https://dalil.kg/document/11887" TargetMode="External"/><Relationship Id="rId5hmr19wfpwrpwemzpvea2" Type="http://schemas.openxmlformats.org/officeDocument/2006/relationships/hyperlink" Target="https://dalil.kg/document/11887"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cfvniceirn9yuoye9dx" Type="http://schemas.openxmlformats.org/officeDocument/2006/relationships/hyperlink" Target="https://dalil.kg/document/98280" TargetMode="External"/><Relationship Id="rId2mrljcw6t0chb8jmxu4k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2026-09-27T04:26:37.205Z</dcterms:created>
  <dcterms:modified xsi:type="dcterms:W3CDTF">2026-09-27T04:26:37.205Z</dcterms:modified>
</cp:coreProperties>
</file>

<file path=docProps/custom.xml><?xml version="1.0" encoding="utf-8"?>
<Properties xmlns="http://schemas.openxmlformats.org/officeDocument/2006/custom-properties" xmlns:vt="http://schemas.openxmlformats.org/officeDocument/2006/docPropsVTypes"/>
</file>