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zwgrze10esvydpcx3khz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18 июля 2026 года № 497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j0j1tbyh_0h-zofjd4g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2015 года № 590</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инвестирования средств пенсионных накоплений</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ub_jo77_eepb_jewzoun7">
        <w:r>
          <w:rPr>
            <w:rFonts w:ascii="Arial" w:cs="Arial" w:eastAsia="Arial" w:hAnsi="Arial"/>
            <w:i/>
            <w:iCs/>
            <w:color w:val="1D4ED8"/>
            <w:sz w:val="24"/>
            <w:szCs w:val="24"/>
            <w:u w:val="single"/>
          </w:rPr>
          <w:t xml:space="preserve">29 августа 2016 года № 463</w:t>
        </w:r>
      </w:hyperlink>
      <w:r>
        <w:rPr>
          <w:rFonts w:ascii="Arial" w:cs="Arial" w:eastAsia="Arial" w:hAnsi="Arial"/>
          <w:i/>
          <w:iCs/>
          <w:sz w:val="24"/>
          <w:szCs w:val="24"/>
        </w:rPr>
        <w:t xml:space="preserve">, Кабинета Министров КР от </w:t>
      </w:r>
      <w:hyperlink w:history="1" r:id="rIdp9y7xdfiqizkutqhxftvz">
        <w:r>
          <w:rPr>
            <w:rFonts w:ascii="Arial" w:cs="Arial" w:eastAsia="Arial" w:hAnsi="Arial"/>
            <w:i/>
            <w:iCs/>
            <w:color w:val="1D4ED8"/>
            <w:sz w:val="24"/>
            <w:szCs w:val="24"/>
            <w:u w:val="single"/>
          </w:rPr>
          <w:t xml:space="preserve">10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54</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Приложение 4</w:t>
      </w:r>
    </w:p>
    <w:p>
      <w:pPr>
        <w:spacing w:after="200" w:before="200"/>
        <w:jc w:val="center"/>
      </w:pPr>
      <w:r>
        <w:rPr>
          <w:rFonts w:ascii="Arial" w:cs="Arial" w:eastAsia="Arial" w:hAnsi="Arial"/>
          <w:b/>
          <w:bCs/>
          <w:sz w:val="32"/>
          <w:szCs w:val="32"/>
        </w:rPr>
        <w:t xml:space="preserve">1. Основные положения</w:t>
      </w:r>
    </w:p>
    <w:p>
      <w:pPr>
        <w:spacing w:after="60"/>
        <w:ind w:firstLine="567"/>
        <w:jc w:val="both"/>
      </w:pPr>
      <w:r>
        <w:rPr>
          <w:rFonts w:ascii="Arial" w:cs="Arial" w:eastAsia="Arial" w:hAnsi="Arial"/>
          <w:sz w:val="24"/>
          <w:szCs w:val="24"/>
        </w:rPr>
        <w:t xml:space="preserve">1. Настоящие Правила инвестирования средств пенсионных накоплений (далее - Правила) устанавливают порядок инвестирования средств пенсионных накоплений, переданных Социальным фондом Кыргызской Республики (далее - Соцфонд) и накопительными пенсионными фондами (далее - НПФ) управляющим компаниям, с которыми заключен договор доверительного управления средствами пенсионных накоплений с Соцфондом, НПФ, и контроля за их размещением, а также требования по формированию состава и структуры средств пенсионных накоплений, порядок расчета доходности по средствам пенсионных накоплений для управляющих компаний, осуществляющих доверительное управление пенсионными активами.</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60"/>
        <w:ind w:firstLine="567"/>
        <w:jc w:val="both"/>
      </w:pPr>
      <w:r>
        <w:rPr>
          <w:rFonts w:ascii="Arial" w:cs="Arial" w:eastAsia="Arial" w:hAnsi="Arial"/>
          <w:sz w:val="24"/>
          <w:szCs w:val="24"/>
        </w:rPr>
        <w:t xml:space="preserve">- условная единица пенсионных активов - удельная величина пенсионных активов НПФ, используемая для характеристики изменения пенсионных активов в результате инвестиционного управления ими управляющей компанией и рассчитываемая в соответствии с настоящими Правилами;</w:t>
      </w:r>
    </w:p>
    <w:p>
      <w:pPr>
        <w:spacing w:after="60"/>
        <w:ind w:firstLine="567"/>
        <w:jc w:val="both"/>
      </w:pPr>
      <w:r>
        <w:rPr>
          <w:rFonts w:ascii="Arial" w:cs="Arial" w:eastAsia="Arial" w:hAnsi="Arial"/>
          <w:sz w:val="24"/>
          <w:szCs w:val="24"/>
        </w:rPr>
        <w:t xml:space="preserve">- чистые пенсионные активы - пенсионные активы НПФ за вычетом его обязательств, относящихся к пенсионным активам (обязательств по пенсионным выплатам, переводам в другие НПФ и других возможных аналогичных обязательств).</w:t>
      </w:r>
    </w:p>
    <w:p>
      <w:pPr>
        <w:spacing w:after="60"/>
        <w:ind w:firstLine="567"/>
        <w:jc w:val="both"/>
      </w:pPr>
      <w:r>
        <w:rPr>
          <w:rFonts w:ascii="Arial" w:cs="Arial" w:eastAsia="Arial" w:hAnsi="Arial"/>
          <w:sz w:val="24"/>
          <w:szCs w:val="24"/>
        </w:rPr>
        <w:t xml:space="preserve">3. Размещение средств пенсионных накоплений осуществляется исключительно в целях обеспечения их прироста.</w:t>
      </w:r>
    </w:p>
    <w:p>
      <w:pPr>
        <w:spacing w:after="60"/>
        <w:ind w:firstLine="567"/>
        <w:jc w:val="both"/>
      </w:pPr>
      <w:r>
        <w:rPr>
          <w:rFonts w:ascii="Arial" w:cs="Arial" w:eastAsia="Arial" w:hAnsi="Arial"/>
          <w:sz w:val="24"/>
          <w:szCs w:val="24"/>
        </w:rPr>
        <w:t xml:space="preserve">4. Инвестирование средств пенсионных накоплений осуществляется управляющими компаниями на основании договора доверительного управления пенсионными накоплениями, заключенного с Соцфондом и НПФ.</w:t>
      </w:r>
    </w:p>
    <w:p>
      <w:pPr>
        <w:spacing w:after="60"/>
        <w:ind w:firstLine="567"/>
        <w:jc w:val="both"/>
      </w:pPr>
      <w:r>
        <w:rPr>
          <w:rFonts w:ascii="Arial" w:cs="Arial" w:eastAsia="Arial" w:hAnsi="Arial"/>
          <w:sz w:val="24"/>
          <w:szCs w:val="24"/>
        </w:rPr>
        <w:t xml:space="preserve">5. Инвестирование средств пенсионных накоплений осуществляется управляющими компаниями в соответствии с </w:t>
      </w:r>
      <w:hyperlink w:history="1" r:id="rIdyogoz97i6aiwy6dncnbq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настоящими Правилами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Соцфонд и НПФ передают функции управления пенсионными накоплениями управляющей компании, с которой заключен договор доверительного управления средствами пенсионных накоплений. Управляющая компания и депозитарий несут материальную и финансовую ответственность за сохранность средств пенсионных накоплений и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7. В целях обеспечения сохранности пенсионных накоплений и платежеспособности управляющих компаний инвестирование пенсионных накоплений осуществляется на принципах прозрачности, диверсификации, надежности и доходности.</w:t>
      </w:r>
    </w:p>
    <w:p>
      <w:pPr>
        <w:spacing w:after="60"/>
        <w:ind w:firstLine="567"/>
        <w:jc w:val="both"/>
      </w:pPr>
      <w:r>
        <w:rPr>
          <w:rFonts w:ascii="Arial" w:cs="Arial" w:eastAsia="Arial" w:hAnsi="Arial"/>
          <w:sz w:val="24"/>
          <w:szCs w:val="24"/>
        </w:rPr>
        <w:t xml:space="preserve">8. Соцфонд и НПФ вправе заключать договоры на доверительное управление средствами пенсионных накоплений с одной или несколькими управляющими компаниями и осуществлять контроль за инвестированием управляющими компаниями средств пенсионных накоплений совместно с уполномоченным государственным органом в сфере надзора и регулирования финансового рынка.</w:t>
      </w:r>
    </w:p>
    <w:p>
      <w:pPr>
        <w:spacing w:after="120"/>
        <w:jc w:val="both"/>
      </w:pPr>
      <w:r>
        <w:rPr>
          <w:rFonts w:ascii="Arial" w:cs="Arial" w:eastAsia="Arial" w:hAnsi="Arial"/>
          <w:sz w:val="24"/>
          <w:szCs w:val="24"/>
        </w:rPr>
        <w:t xml:space="preserve">Накопительные пенсионные фонды вправе самостоятельно осуществлять инвестирование средств пенсионных накоплений при условии получения соответствующих лицензий в порядке, установленном законодательством Кыргызской Республики в сфере рынка ценных бумаг. Формирование состава и структуры пенсионных активов накопительного пенсионного фонда осуществляется в соответствии с настоящими Правилами.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hbuuu6n6cufo9oo64ihp">
        <w:r>
          <w:rPr>
            <w:rFonts w:ascii="Arial" w:cs="Arial" w:eastAsia="Arial" w:hAnsi="Arial"/>
            <w:color w:val="1D4ED8"/>
            <w:sz w:val="24"/>
            <w:szCs w:val="24"/>
            <w:u w:val="single"/>
          </w:rPr>
          <w:t xml:space="preserve">10 февраля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Требования по формированию состава и структуры пенсионных активов фонда</w:t>
      </w:r>
    </w:p>
    <w:p>
      <w:pPr>
        <w:spacing w:after="60"/>
        <w:ind w:firstLine="567"/>
        <w:jc w:val="both"/>
      </w:pPr>
      <w:r>
        <w:rPr>
          <w:rFonts w:ascii="Arial" w:cs="Arial" w:eastAsia="Arial" w:hAnsi="Arial"/>
          <w:sz w:val="24"/>
          <w:szCs w:val="24"/>
        </w:rPr>
        <w:t xml:space="preserve">9. Пенсионные накопления могут быть размещены в следующие инвестиционные активы:</w:t>
      </w:r>
    </w:p>
    <w:p>
      <w:pPr>
        <w:spacing w:after="60"/>
        <w:ind w:firstLine="567"/>
        <w:jc w:val="both"/>
      </w:pPr>
      <w:r>
        <w:rPr>
          <w:rFonts w:ascii="Arial" w:cs="Arial" w:eastAsia="Arial" w:hAnsi="Arial"/>
          <w:sz w:val="24"/>
          <w:szCs w:val="24"/>
        </w:rPr>
        <w:t xml:space="preserve">а) государственные ценные бумаги - не менее 40 процентов стоимости пенсионных накоплений;</w:t>
      </w:r>
    </w:p>
    <w:p>
      <w:pPr>
        <w:spacing w:after="60"/>
        <w:ind w:firstLine="567"/>
        <w:jc w:val="both"/>
      </w:pPr>
      <w:r>
        <w:rPr>
          <w:rFonts w:ascii="Arial" w:cs="Arial" w:eastAsia="Arial" w:hAnsi="Arial"/>
          <w:sz w:val="24"/>
          <w:szCs w:val="24"/>
        </w:rPr>
        <w:t xml:space="preserve">б) облигации с обеспечением эмитентов Кыргызской Республики, обращающихся на фондовых биржах Кыргызской Республики, - не более 30 процентов стоимости пенсионных накоплений;</w:t>
      </w:r>
    </w:p>
    <w:p>
      <w:pPr>
        <w:spacing w:after="60"/>
        <w:ind w:firstLine="567"/>
        <w:jc w:val="both"/>
      </w:pPr>
      <w:r>
        <w:rPr>
          <w:rFonts w:ascii="Arial" w:cs="Arial" w:eastAsia="Arial" w:hAnsi="Arial"/>
          <w:sz w:val="24"/>
          <w:szCs w:val="24"/>
        </w:rPr>
        <w:t xml:space="preserve">в) акции эмитентов Кыргызской Республики, созданных в форме открытых акционерных обществ, прошедших листинг на фондовых биржах Кыргызской Республики, - не более 40 процентов стоимости пенсионных накоплений;</w:t>
      </w:r>
    </w:p>
    <w:p>
      <w:pPr>
        <w:spacing w:after="60"/>
        <w:ind w:firstLine="567"/>
        <w:jc w:val="both"/>
      </w:pPr>
      <w:r>
        <w:rPr>
          <w:rFonts w:ascii="Arial" w:cs="Arial" w:eastAsia="Arial" w:hAnsi="Arial"/>
          <w:sz w:val="24"/>
          <w:szCs w:val="24"/>
        </w:rPr>
        <w:t xml:space="preserve">г) ипотечные ценные бумаги и жилищные сертификаты, выпущенные в соответствии с законодательством Кыргызской Республики, - не более 15 процентов стоимости пенсионных накоплений. Для целей настоящих Правил под ипотечными ценными бумагами понимаются облигации с ипотечным покрытием и жилищные сертификаты;</w:t>
      </w:r>
    </w:p>
    <w:p>
      <w:pPr>
        <w:spacing w:after="60"/>
        <w:ind w:firstLine="567"/>
        <w:jc w:val="both"/>
      </w:pPr>
      <w:r>
        <w:rPr>
          <w:rFonts w:ascii="Arial" w:cs="Arial" w:eastAsia="Arial" w:hAnsi="Arial"/>
          <w:sz w:val="24"/>
          <w:szCs w:val="24"/>
        </w:rPr>
        <w:t xml:space="preserve">д) депозиты в финансово-кредитных организациях - не более 30 процентов стоимости пенсионных накоплений.</w:t>
      </w:r>
    </w:p>
    <w:p>
      <w:pPr>
        <w:spacing w:after="60"/>
        <w:ind w:firstLine="567"/>
        <w:jc w:val="both"/>
      </w:pPr>
      <w:r>
        <w:rPr>
          <w:rFonts w:ascii="Arial" w:cs="Arial" w:eastAsia="Arial" w:hAnsi="Arial"/>
          <w:sz w:val="24"/>
          <w:szCs w:val="24"/>
        </w:rPr>
        <w:t xml:space="preserve">При этом разрешается инвестировать в облигации с обеспечением одного эмитента Кыргызской Республики, в акции одного эмитента Кыргызской Республики, в ипотечные ценные бумаги (жилищные сертификаты) одного эмитента Кыргызской Республики, в депозиты одной кредитной организации - не более 10 процентов пенсионных накоплений по каждому виду.</w:t>
      </w:r>
    </w:p>
    <w:p>
      <w:pPr>
        <w:spacing w:after="60"/>
        <w:ind w:firstLine="567"/>
        <w:jc w:val="both"/>
      </w:pPr>
      <w:r>
        <w:rPr>
          <w:rFonts w:ascii="Arial" w:cs="Arial" w:eastAsia="Arial" w:hAnsi="Arial"/>
          <w:sz w:val="24"/>
          <w:szCs w:val="24"/>
        </w:rPr>
        <w:t xml:space="preserve">10. Пенсионные накопления могут быть размещены или инвестированы в корпоративные ценные бумаги эмитентов Кыргызской Республики, включенные в котировальный список (листинг) фондовой биржи по первой (наивысшей) и второй (следующей за наивысшей) категориям.</w:t>
      </w:r>
    </w:p>
    <w:p>
      <w:pPr>
        <w:spacing w:after="60"/>
        <w:ind w:firstLine="567"/>
        <w:jc w:val="both"/>
      </w:pPr>
      <w:r>
        <w:rPr>
          <w:rFonts w:ascii="Arial" w:cs="Arial" w:eastAsia="Arial" w:hAnsi="Arial"/>
          <w:sz w:val="24"/>
          <w:szCs w:val="24"/>
        </w:rPr>
        <w:t xml:space="preserve">11. Юридические лица, зарегистрированные в оффшорных зонах или имеющие в качестве акционеров (участников) и аффилированных лиц юридических лиц, зарегистрированных в оффшорных зонах, либо физические лица, проживающие на территории оффшорных зон или являющиеся акционерами (участниками) юридических лиц, зарегистрированных в оффшорных зонах, - не могут быть управляющими компаниями средств пенсионных накоплений.</w:t>
      </w:r>
    </w:p>
    <w:p>
      <w:pPr>
        <w:spacing w:after="60"/>
        <w:ind w:firstLine="567"/>
        <w:jc w:val="both"/>
      </w:pPr>
      <w:r>
        <w:rPr>
          <w:rFonts w:ascii="Arial" w:cs="Arial" w:eastAsia="Arial" w:hAnsi="Arial"/>
          <w:sz w:val="24"/>
          <w:szCs w:val="24"/>
        </w:rPr>
        <w:t xml:space="preserve">12. При инвестировании средств пенсионных накоплений управляющими компаниями не допускается:</w:t>
      </w:r>
    </w:p>
    <w:p>
      <w:pPr>
        <w:spacing w:after="60"/>
        <w:ind w:firstLine="567"/>
        <w:jc w:val="both"/>
      </w:pPr>
      <w:r>
        <w:rPr>
          <w:rFonts w:ascii="Arial" w:cs="Arial" w:eastAsia="Arial" w:hAnsi="Arial"/>
          <w:sz w:val="24"/>
          <w:szCs w:val="24"/>
        </w:rPr>
        <w:t xml:space="preserve">а) безвозмездное отчуждение пенсионных накоплений;</w:t>
      </w:r>
    </w:p>
    <w:p>
      <w:pPr>
        <w:spacing w:after="60"/>
        <w:ind w:firstLine="567"/>
        <w:jc w:val="both"/>
      </w:pPr>
      <w:r>
        <w:rPr>
          <w:rFonts w:ascii="Arial" w:cs="Arial" w:eastAsia="Arial" w:hAnsi="Arial"/>
          <w:sz w:val="24"/>
          <w:szCs w:val="24"/>
        </w:rPr>
        <w:t xml:space="preserve">б) объединение пенсионных накоплений с иными активами управляющей компании;</w:t>
      </w:r>
    </w:p>
    <w:p>
      <w:pPr>
        <w:spacing w:after="60"/>
        <w:ind w:firstLine="567"/>
        <w:jc w:val="both"/>
      </w:pPr>
      <w:r>
        <w:rPr>
          <w:rFonts w:ascii="Arial" w:cs="Arial" w:eastAsia="Arial" w:hAnsi="Arial"/>
          <w:sz w:val="24"/>
          <w:szCs w:val="24"/>
        </w:rPr>
        <w:t xml:space="preserve">в) получение на условиях договоров займа или кредитных договоров денежных средств или иного имущества, подлежащих возврату за счет пенсионных накоплений;</w:t>
      </w:r>
    </w:p>
    <w:p>
      <w:pPr>
        <w:spacing w:after="60"/>
        <w:ind w:firstLine="567"/>
        <w:jc w:val="both"/>
      </w:pPr>
      <w:r>
        <w:rPr>
          <w:rFonts w:ascii="Arial" w:cs="Arial" w:eastAsia="Arial" w:hAnsi="Arial"/>
          <w:sz w:val="24"/>
          <w:szCs w:val="24"/>
        </w:rPr>
        <w:t xml:space="preserve">г) предоставление займов за счет пенсионных накоплений;</w:t>
      </w:r>
    </w:p>
    <w:p>
      <w:pPr>
        <w:spacing w:after="60"/>
        <w:ind w:firstLine="567"/>
        <w:jc w:val="both"/>
      </w:pPr>
      <w:r>
        <w:rPr>
          <w:rFonts w:ascii="Arial" w:cs="Arial" w:eastAsia="Arial" w:hAnsi="Arial"/>
          <w:sz w:val="24"/>
          <w:szCs w:val="24"/>
        </w:rPr>
        <w:t xml:space="preserve">д) использование пенсионных накоплений для обеспечения исполнения обязательств управляющей компании, не вязанных с осуществлением доверительного управления пенсионными накоплениями, обязательств Соцфонда или НПФ, не связанных с осуществлением деятельности по накопительному пенсионному обеспечению, а также обязательств иных лиц;</w:t>
      </w:r>
    </w:p>
    <w:p>
      <w:pPr>
        <w:spacing w:after="60"/>
        <w:ind w:firstLine="567"/>
        <w:jc w:val="both"/>
      </w:pPr>
      <w:r>
        <w:rPr>
          <w:rFonts w:ascii="Arial" w:cs="Arial" w:eastAsia="Arial" w:hAnsi="Arial"/>
          <w:sz w:val="24"/>
          <w:szCs w:val="24"/>
        </w:rPr>
        <w:t xml:space="preserve">е) распоряжение средствами пенсионных накоплений (давать распоряжения о списании, перечислении или выдаче денежных средств, составляющих средства пенсионных накоплений, с банковских счетов и совершать сделки, связанные с инвестированием средств пенсионных накоплений, или давать брокеру поручения о совершении таких сделок) без согласия депозитария.</w:t>
      </w:r>
    </w:p>
    <w:p>
      <w:pPr>
        <w:spacing w:after="60"/>
        <w:ind w:firstLine="567"/>
        <w:jc w:val="both"/>
      </w:pPr>
      <w:r>
        <w:rPr>
          <w:rFonts w:ascii="Arial" w:cs="Arial" w:eastAsia="Arial" w:hAnsi="Arial"/>
          <w:sz w:val="24"/>
          <w:szCs w:val="24"/>
        </w:rPr>
        <w:t xml:space="preserve">Основанием для отказа депозитарием в согласовании управляющей компании распоряжаться средствами пенсионных накоплений является несоответствие содержания и целей поданных управляющей компанией заявки и/или распоряжения требованиям нормативных правовых актов Кыргызской Республики.</w:t>
      </w:r>
    </w:p>
    <w:p>
      <w:pPr>
        <w:spacing w:after="60"/>
        <w:ind w:firstLine="567"/>
        <w:jc w:val="both"/>
      </w:pPr>
      <w:r>
        <w:rPr>
          <w:rFonts w:ascii="Arial" w:cs="Arial" w:eastAsia="Arial" w:hAnsi="Arial"/>
          <w:sz w:val="24"/>
          <w:szCs w:val="24"/>
        </w:rPr>
        <w:t xml:space="preserve">13. Кредитные организации, в которых размещают денежные средства управляющие компании и брокеры, осуществляющие операции со средствами пенсионных накоплений, включая размещение денежных средств на депозиты, должны отвечать требованиям, установленным законодательством Кыргызской Республики к кредитным организациям системы защиты депозитов.</w:t>
      </w:r>
    </w:p>
    <w:p>
      <w:pPr>
        <w:spacing w:after="200" w:before="200"/>
        <w:jc w:val="center"/>
      </w:pPr>
      <w:r>
        <w:rPr>
          <w:rFonts w:ascii="Arial" w:cs="Arial" w:eastAsia="Arial" w:hAnsi="Arial"/>
          <w:b/>
          <w:bCs/>
          <w:sz w:val="32"/>
          <w:szCs w:val="32"/>
        </w:rPr>
        <w:t xml:space="preserve">3. Особенности осуществления операций со средствами пенсионных накоплений</w:t>
      </w:r>
    </w:p>
    <w:p>
      <w:pPr>
        <w:spacing w:after="60"/>
        <w:ind w:firstLine="567"/>
        <w:jc w:val="both"/>
      </w:pPr>
      <w:r>
        <w:rPr>
          <w:rFonts w:ascii="Arial" w:cs="Arial" w:eastAsia="Arial" w:hAnsi="Arial"/>
          <w:sz w:val="24"/>
          <w:szCs w:val="24"/>
        </w:rPr>
        <w:t xml:space="preserve">14. Для осуществления операций со средствами пенсионных накоплений управляющая компания обязана для каждого инвестиционного портфеля открыть отдельный банковский счет (счета).</w:t>
      </w:r>
    </w:p>
    <w:p>
      <w:pPr>
        <w:spacing w:after="60"/>
        <w:ind w:firstLine="567"/>
        <w:jc w:val="both"/>
      </w:pPr>
      <w:r>
        <w:rPr>
          <w:rFonts w:ascii="Arial" w:cs="Arial" w:eastAsia="Arial" w:hAnsi="Arial"/>
          <w:sz w:val="24"/>
          <w:szCs w:val="24"/>
        </w:rPr>
        <w:t xml:space="preserve">15. На средства пенсионных накоплений и активы, в которые инвестированы средства пенсионных накоплений, не может быть обращено взыскание по обязательствам субъектов и участников отношений по формированию и инвестированию средств пенсионных накоплений, за исключением обязательств управляющей компании, возникших в связи с осуществлением деятельности по доверительному управлению средствами пенсионных накоплений. В случае признания управляющей компании несостоятельной (банкротом) средства пенсионных накоплений и активы, в которые инвестированы средства пенсионных накоплений, находящиеся в ее доверительном управлении, не включаются в ликвидационную массу.</w:t>
      </w:r>
    </w:p>
    <w:p>
      <w:pPr>
        <w:spacing w:after="60"/>
        <w:ind w:firstLine="567"/>
        <w:jc w:val="both"/>
      </w:pPr>
      <w:r>
        <w:rPr>
          <w:rFonts w:ascii="Arial" w:cs="Arial" w:eastAsia="Arial" w:hAnsi="Arial"/>
          <w:sz w:val="24"/>
          <w:szCs w:val="24"/>
        </w:rPr>
        <w:t xml:space="preserve">16. Субъекты отношений по формированию и инвестированию средств пенсионных накоплений, другие лица, вовлеченные в процесс инвестирования средств пенсионных накоплений, не вправе зачислять на отдельный банковский счет (счета) для осуществления операций со средствами пенсионных накоплений денежные средства, не являющиеся пенсионными накоплениями.</w:t>
      </w:r>
    </w:p>
    <w:p>
      <w:pPr>
        <w:spacing w:after="200" w:before="200"/>
        <w:jc w:val="center"/>
      </w:pPr>
      <w:r>
        <w:rPr>
          <w:rFonts w:ascii="Arial" w:cs="Arial" w:eastAsia="Arial" w:hAnsi="Arial"/>
          <w:b/>
          <w:bCs/>
          <w:sz w:val="32"/>
          <w:szCs w:val="32"/>
        </w:rPr>
        <w:t xml:space="preserve">4. Передача средств пенсионных накоплений управляющим компаниям</w:t>
      </w:r>
    </w:p>
    <w:p>
      <w:pPr>
        <w:spacing w:after="60"/>
        <w:ind w:firstLine="567"/>
        <w:jc w:val="both"/>
      </w:pPr>
      <w:r>
        <w:rPr>
          <w:rFonts w:ascii="Arial" w:cs="Arial" w:eastAsia="Arial" w:hAnsi="Arial"/>
          <w:sz w:val="24"/>
          <w:szCs w:val="24"/>
        </w:rPr>
        <w:t xml:space="preserve">17. Передача средств пенсионных накоплений управляющим компаниям осуществляется Соцфондом и НПФ в соответствии с законами Кыргызской Республики "</w:t>
      </w:r>
      <w:hyperlink w:history="1" r:id="rIdco8k_w_2zlhstygsfqldg">
        <w:r>
          <w:rPr>
            <w:rFonts w:ascii="Arial" w:cs="Arial" w:eastAsia="Arial" w:hAnsi="Arial"/>
            <w:color w:val="1D4ED8"/>
            <w:sz w:val="24"/>
            <w:szCs w:val="24"/>
            <w:u w:val="single"/>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hyperlink>
      <w:r>
        <w:rPr>
          <w:rFonts w:ascii="Arial" w:cs="Arial" w:eastAsia="Arial" w:hAnsi="Arial"/>
          <w:sz w:val="24"/>
          <w:szCs w:val="24"/>
        </w:rPr>
        <w:t xml:space="preserve">" и "</w:t>
      </w:r>
      <w:hyperlink w:history="1" r:id="rIdxjvghi0aqi0hd3muqbwek">
        <w:r>
          <w:rPr>
            <w:rFonts w:ascii="Arial" w:cs="Arial" w:eastAsia="Arial" w:hAnsi="Arial"/>
            <w:color w:val="1D4ED8"/>
            <w:sz w:val="24"/>
            <w:szCs w:val="24"/>
            <w:u w:val="single"/>
          </w:rPr>
          <w:t xml:space="preserve">О накопительных пенсионных фондах в Кыргызской Республике</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5. Условия инвестирования средств пенсионных накоплений</w:t>
      </w:r>
    </w:p>
    <w:p>
      <w:pPr>
        <w:spacing w:after="60"/>
        <w:ind w:firstLine="567"/>
        <w:jc w:val="both"/>
      </w:pPr>
      <w:r>
        <w:rPr>
          <w:rFonts w:ascii="Arial" w:cs="Arial" w:eastAsia="Arial" w:hAnsi="Arial"/>
          <w:sz w:val="24"/>
          <w:szCs w:val="24"/>
        </w:rPr>
        <w:t xml:space="preserve">18. В соответствии со статьеей 13 </w:t>
      </w:r>
      <w:hyperlink w:history="1" r:id="rIdc1nlns6kprdg0ka07mcq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управляющая компания рассчитывает текущую рыночную стоимость активов, в которые инвестированы средства пенсионных накоплений, а также стоимость чистых активов, находящихся в доверительном управлении, в установленном порядке и сроки, при этом управляющая компания отвечает за неисполнение или ненадлежащее исполнение указанной обязанности в соответствии с законодательством Кыргызской Республики и двусторонними договорами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19. Соцфонд, НПФ и управляющая компания хранят подлинники всех первичных документов в отношении средств пенсионных накоплений, договоры, на основании которых осуществляется доверительное управление средствами пенсионных накоплений, изменения в указанные договоры, документы, подтверждающие прекращение указанных договоров, а также предписания уполномоченного государственного органа в сфере надзора и регулирования финансового рынка об устранении нарушений, выявленных при осуществлении контроля за размещением средств пенсионных накоплений, и передают депозитарию копии указанных документов не позднее 3 рабочих дней с даты их составления или получения.</w:t>
      </w:r>
    </w:p>
    <w:p>
      <w:pPr>
        <w:spacing w:after="60"/>
        <w:ind w:firstLine="567"/>
        <w:jc w:val="both"/>
      </w:pPr>
      <w:r>
        <w:rPr>
          <w:rFonts w:ascii="Arial" w:cs="Arial" w:eastAsia="Arial" w:hAnsi="Arial"/>
          <w:sz w:val="24"/>
          <w:szCs w:val="24"/>
        </w:rPr>
        <w:t xml:space="preserve">20. Соцфонд и НПФ уведомляют депозитарий о прекращении соответствующего договора доверительного управления пенсионными накоплениями не позднее 1 месяца до даты его прекращения.</w:t>
      </w:r>
    </w:p>
    <w:p>
      <w:pPr>
        <w:spacing w:after="60"/>
        <w:ind w:firstLine="567"/>
        <w:jc w:val="both"/>
      </w:pPr>
      <w:r>
        <w:rPr>
          <w:rFonts w:ascii="Arial" w:cs="Arial" w:eastAsia="Arial" w:hAnsi="Arial"/>
          <w:sz w:val="24"/>
          <w:szCs w:val="24"/>
        </w:rPr>
        <w:t xml:space="preserve">21. Нарушение требований настоящих Правил, иных нормативных правовых актов или договора доверительного управления средствами пенсионных накоплений к составу и/или структуре пенсионных накоплений, возникшее в результате:</w:t>
      </w:r>
    </w:p>
    <w:p>
      <w:pPr>
        <w:spacing w:after="60"/>
        <w:ind w:firstLine="567"/>
        <w:jc w:val="both"/>
      </w:pPr>
      <w:r>
        <w:rPr>
          <w:rFonts w:ascii="Arial" w:cs="Arial" w:eastAsia="Arial" w:hAnsi="Arial"/>
          <w:sz w:val="24"/>
          <w:szCs w:val="24"/>
        </w:rPr>
        <w:t xml:space="preserve">- обстоятельств, не зависящих от действий управляющей компании, в том числе из-за изменения стоимости ценных бумаг, составляющих пенсионные накопления, должно быть устранено мерами, в наибольшей степени отвечающими интересам застрахованных лиц, в течение 3 месяцев с даты, когда указанное нарушение было или должно было быть обнаружено;</w:t>
      </w:r>
    </w:p>
    <w:p>
      <w:pPr>
        <w:spacing w:after="60"/>
        <w:ind w:firstLine="567"/>
        <w:jc w:val="both"/>
      </w:pPr>
      <w:r>
        <w:rPr>
          <w:rFonts w:ascii="Arial" w:cs="Arial" w:eastAsia="Arial" w:hAnsi="Arial"/>
          <w:sz w:val="24"/>
          <w:szCs w:val="24"/>
        </w:rPr>
        <w:t xml:space="preserve">- действий или бездействия управляющей компании, должно быть устранено мерами, в наибольшей степени отвечающими интересам застрахованных лиц, в течение 1 месяца с даты, когда данное нарушение было обнаружено.</w:t>
      </w:r>
    </w:p>
    <w:p>
      <w:pPr>
        <w:spacing w:after="60"/>
        <w:ind w:firstLine="567"/>
        <w:jc w:val="both"/>
      </w:pPr>
      <w:r>
        <w:rPr>
          <w:rFonts w:ascii="Arial" w:cs="Arial" w:eastAsia="Arial" w:hAnsi="Arial"/>
          <w:sz w:val="24"/>
          <w:szCs w:val="24"/>
        </w:rPr>
        <w:t xml:space="preserve">22. В случае увеличения рисков снижения стоимости и падения уровня доходности активов, Соцфонд и НПФ вправе направить управляющей компании предписание о необходимости принятия мер управляющей компанией по обеспечению эффективного использования средств пенсионных накоплений для их ликвидности и доходности.</w:t>
      </w:r>
    </w:p>
    <w:p>
      <w:pPr>
        <w:spacing w:after="200" w:before="200"/>
        <w:jc w:val="center"/>
      </w:pPr>
      <w:r>
        <w:rPr>
          <w:rFonts w:ascii="Arial" w:cs="Arial" w:eastAsia="Arial" w:hAnsi="Arial"/>
          <w:b/>
          <w:bCs/>
          <w:sz w:val="32"/>
          <w:szCs w:val="32"/>
        </w:rPr>
        <w:t xml:space="preserve">6. Требования к деятельности управляющих компаний</w:t>
      </w:r>
    </w:p>
    <w:p>
      <w:pPr>
        <w:spacing w:after="60"/>
        <w:ind w:firstLine="567"/>
        <w:jc w:val="both"/>
      </w:pPr>
      <w:r>
        <w:rPr>
          <w:rFonts w:ascii="Arial" w:cs="Arial" w:eastAsia="Arial" w:hAnsi="Arial"/>
          <w:sz w:val="24"/>
          <w:szCs w:val="24"/>
        </w:rPr>
        <w:t xml:space="preserve">23. Для участия в управлении средствами пенсионных накоплений нормативный показатель (размер) собственного капитала управляющей компании, определяемый в соответствии с </w:t>
      </w:r>
      <w:hyperlink w:history="1" r:id="rIdouipfgt8dlrm3mjju53vf">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нормативных показателях достаточности собственных средств, устанавливаемых для профессиональных участников рынка ценных бумаг, утвержденным </w:t>
      </w:r>
      <w:hyperlink w:history="1" r:id="rIdl5ypcunlf9ztiorxmwi8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2011 года № 467, должен быть не менее 10 млн. сомов и должен поддерживаться в течение всего периода управления.</w:t>
      </w:r>
    </w:p>
    <w:p>
      <w:pPr>
        <w:spacing w:after="60"/>
        <w:ind w:firstLine="567"/>
        <w:jc w:val="both"/>
      </w:pPr>
      <w:r>
        <w:rPr>
          <w:rFonts w:ascii="Arial" w:cs="Arial" w:eastAsia="Arial" w:hAnsi="Arial"/>
          <w:sz w:val="24"/>
          <w:szCs w:val="24"/>
        </w:rPr>
        <w:t xml:space="preserve">24. При принятии средств пенсионных накоплений в доверительное управление, управляющая компания должна взять на себя обязательство обеспечить минимальный уровень инвестиционного дохода, определенный договором доверительного управления средствами пенсионных накоплений с Соцфондом и НПФ.</w:t>
      </w:r>
    </w:p>
    <w:p>
      <w:pPr>
        <w:spacing w:after="60"/>
        <w:ind w:firstLine="567"/>
        <w:jc w:val="both"/>
      </w:pPr>
      <w:r>
        <w:rPr>
          <w:rFonts w:ascii="Arial" w:cs="Arial" w:eastAsia="Arial" w:hAnsi="Arial"/>
          <w:sz w:val="24"/>
          <w:szCs w:val="24"/>
        </w:rPr>
        <w:t xml:space="preserve">25. При уровне инвестиционного дохода ниже минимального уровня, подсчитываемого по итогам последнего квартала, управляющая компания возмещает недостающую разницу Соцфонду и/или НПФ.</w:t>
      </w:r>
    </w:p>
    <w:p>
      <w:pPr>
        <w:spacing w:after="60"/>
        <w:ind w:firstLine="567"/>
        <w:jc w:val="both"/>
      </w:pPr>
      <w:r>
        <w:rPr>
          <w:rFonts w:ascii="Arial" w:cs="Arial" w:eastAsia="Arial" w:hAnsi="Arial"/>
          <w:sz w:val="24"/>
          <w:szCs w:val="24"/>
        </w:rPr>
        <w:t xml:space="preserve">26. В случае если стоимость передаваемых средств пенсионных накоплений окажется ниже рыночной стоимости активов по оценке, произведенной по итогам последнего квартала, предшествующего расторжению договора, то управляющая компания обязана возместить Соцфонду и/или НПФ за счет собственных средств возникшую разницу между фактически сложившейся стоимостью и стоимостью активов, согласно оценке на момент возврата.</w:t>
      </w:r>
    </w:p>
    <w:p>
      <w:pPr>
        <w:spacing w:after="60"/>
        <w:ind w:firstLine="567"/>
        <w:jc w:val="both"/>
      </w:pPr>
      <w:r>
        <w:rPr>
          <w:rFonts w:ascii="Arial" w:cs="Arial" w:eastAsia="Arial" w:hAnsi="Arial"/>
          <w:sz w:val="24"/>
          <w:szCs w:val="24"/>
        </w:rPr>
        <w:t xml:space="preserve">27. При прекращении договора доверительного управления денежные средства, входящие в состав средств пенсионных накоплений, находившиеся в доверительном управлении, подлежат передаче Соцфонду и/или НПФ в срок, не превышающий 3 рабочих дней с момента прекращения действия указанного договора. Иные активы и имущество, входящие в состав средств пенсионных накоплений, находившиеся в доверительном управлении, подлежат продаже на возможно более выгодных условиях с последующей передачей денежных средств, вырученных от продажи такого имущества или активов, Соцфонду и/или НПФ в порядке, определяемом пунктом 28 настоящих Правил.</w:t>
      </w:r>
    </w:p>
    <w:p>
      <w:pPr>
        <w:spacing w:after="60"/>
        <w:ind w:firstLine="567"/>
        <w:jc w:val="both"/>
      </w:pPr>
      <w:r>
        <w:rPr>
          <w:rFonts w:ascii="Arial" w:cs="Arial" w:eastAsia="Arial" w:hAnsi="Arial"/>
          <w:sz w:val="24"/>
          <w:szCs w:val="24"/>
        </w:rPr>
        <w:t xml:space="preserve">28. Активы и имущество, входящие в состав средств пенсионных накоплений, подлежат продаже в течение 5 рабочих дней с момента прекращения действия договора, по цене не ниже рыночной, для передачи вырученных средств Соцфонду и/или НПФ. По истечении 5 рабочих дней, в случае, если не удалось продать активы и имущество, входящие в состав средств пенсионных накоплений, управляющая компания обязана возвратить Соцфонду и/или НПФ за счет собственных средств рыночную стоимость активов и имущества, определенную на день, предшествующий возврату, в соответствии с Порядком расчета текущей рыночной стоимости активов и стоимости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29. Передача средств пенсионных накоплений при прекращении, расторжении договора доверительного управления управляющей компанией сопровождается подписанием сторонами соответствующих актов в порядке и сроки, предусмотренными Типовым договором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30. В случае отсутствия у управляющей компании необходимых средств для передачи Соцфонду и/или НПФ, управляющая компания несет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Требования к деятельности брокеров, осуществляющих операции со средствами пенсионных накоплений</w:t>
      </w:r>
    </w:p>
    <w:p>
      <w:pPr>
        <w:spacing w:after="60"/>
        <w:ind w:firstLine="567"/>
        <w:jc w:val="both"/>
      </w:pPr>
      <w:r>
        <w:rPr>
          <w:rFonts w:ascii="Arial" w:cs="Arial" w:eastAsia="Arial" w:hAnsi="Arial"/>
          <w:sz w:val="24"/>
          <w:szCs w:val="24"/>
        </w:rPr>
        <w:t xml:space="preserve">31. К операциям со средствами пенсионных накоплений в качестве брокера не может быть допущена организация:</w:t>
      </w:r>
    </w:p>
    <w:p>
      <w:pPr>
        <w:spacing w:after="60"/>
        <w:ind w:firstLine="567"/>
        <w:jc w:val="both"/>
      </w:pPr>
      <w:r>
        <w:rPr>
          <w:rFonts w:ascii="Arial" w:cs="Arial" w:eastAsia="Arial" w:hAnsi="Arial"/>
          <w:sz w:val="24"/>
          <w:szCs w:val="24"/>
        </w:rPr>
        <w:t xml:space="preserve">- если к ней применялись процедуры банкротства либо санкции в виде аннулирования, либо приостановления действия лицензии профессионального участника рынка ценных бумаг в течение последних двух лет;</w:t>
      </w:r>
    </w:p>
    <w:p>
      <w:pPr>
        <w:spacing w:after="60"/>
        <w:ind w:firstLine="567"/>
        <w:jc w:val="both"/>
      </w:pPr>
      <w:r>
        <w:rPr>
          <w:rFonts w:ascii="Arial" w:cs="Arial" w:eastAsia="Arial" w:hAnsi="Arial"/>
          <w:sz w:val="24"/>
          <w:szCs w:val="24"/>
        </w:rPr>
        <w:t xml:space="preserve">- если по итогам хотя бы одного из двух последних лет или на последнюю отчетную дату имела убытки;</w:t>
      </w:r>
    </w:p>
    <w:p>
      <w:pPr>
        <w:spacing w:after="60"/>
        <w:ind w:firstLine="567"/>
        <w:jc w:val="both"/>
      </w:pPr>
      <w:r>
        <w:rPr>
          <w:rFonts w:ascii="Arial" w:cs="Arial" w:eastAsia="Arial" w:hAnsi="Arial"/>
          <w:sz w:val="24"/>
          <w:szCs w:val="24"/>
        </w:rPr>
        <w:t xml:space="preserve">- являющаяся аффилированным лицом управляющей компании либо аффилированным лицом ее аффилированных лиц, аффилированным лицом депозитария либо аффилированным лицом его аффилированных лиц.</w:t>
      </w:r>
    </w:p>
    <w:p>
      <w:pPr>
        <w:spacing w:after="60"/>
        <w:ind w:firstLine="567"/>
        <w:jc w:val="both"/>
      </w:pPr>
      <w:r>
        <w:rPr>
          <w:rFonts w:ascii="Arial" w:cs="Arial" w:eastAsia="Arial" w:hAnsi="Arial"/>
          <w:sz w:val="24"/>
          <w:szCs w:val="24"/>
        </w:rPr>
        <w:t xml:space="preserve">32. Не может быть допущено к операциям со средствами пенсионных накоплений в качестве брокера юридическое лицо, зарегистрированное в оффшорных зонах или имеющее в качестве акционеров (участников) и аффилированных лиц юридических лиц, зарегистрированных в оффшорных зонах, либо физическое лицо, проживающее на территории оффшорных зон или являющееся акционером (участником) юридических лиц, зарегистрированных в оффшорных зонах.</w:t>
      </w:r>
    </w:p>
    <w:p>
      <w:pPr>
        <w:spacing w:after="200" w:before="200"/>
        <w:jc w:val="center"/>
      </w:pPr>
      <w:r>
        <w:rPr>
          <w:rFonts w:ascii="Arial" w:cs="Arial" w:eastAsia="Arial" w:hAnsi="Arial"/>
          <w:b/>
          <w:bCs/>
          <w:sz w:val="32"/>
          <w:szCs w:val="32"/>
        </w:rPr>
        <w:t xml:space="preserve">8. Порядок расчета доходности по средствам пенсионных накоплений для управляющих компаний, осуществляющих доверительное управление пенсионными активами</w:t>
      </w:r>
    </w:p>
    <w:p>
      <w:pPr>
        <w:spacing w:after="60"/>
        <w:ind w:firstLine="567"/>
        <w:jc w:val="both"/>
      </w:pPr>
      <w:r>
        <w:rPr>
          <w:rFonts w:ascii="Arial" w:cs="Arial" w:eastAsia="Arial" w:hAnsi="Arial"/>
          <w:sz w:val="24"/>
          <w:szCs w:val="24"/>
        </w:rPr>
        <w:t xml:space="preserve">33. Доходность пенсионных активов НПФ, находящихся в доверительном управлении управляющей компании, характеризуется показателем номинальной доходности НПФ -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рассчитываемым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средняя стоимость одной условной единицы пенсионных активов НПФ, которые находились в доверительном управлении управляющей компании в отчетном календарном месяце, рассчитанная в соответствии с пунктом 35 настоящих Правил;</w:t>
      </w:r>
    </w:p>
    <w:p>
      <w:pPr>
        <w:spacing w:after="60"/>
        <w:ind w:firstLine="567"/>
        <w:jc w:val="both"/>
      </w:pPr>
      <w:r>
        <w:rPr>
          <w:rFonts w:ascii="Arial" w:cs="Arial" w:eastAsia="Arial" w:hAnsi="Arial"/>
          <w:sz w:val="24"/>
          <w:szCs w:val="24"/>
        </w:rPr>
        <w:t xml:space="preserve"> - средняя стоимость одной условной единицы пенсионных активов НПФ, которые находились в доверительном управлении управляющей компании двенадцать, тридцать шесть и шестьдесят месяцев назад, рассчитанная в соответствии с пунктом 34 настоящих Правил.</w:t>
      </w:r>
    </w:p>
    <w:p>
      <w:pPr>
        <w:spacing w:after="60"/>
        <w:ind w:firstLine="567"/>
        <w:jc w:val="both"/>
      </w:pPr>
      <w:r>
        <w:rPr>
          <w:rFonts w:ascii="Arial" w:cs="Arial" w:eastAsia="Arial" w:hAnsi="Arial"/>
          <w:sz w:val="24"/>
          <w:szCs w:val="24"/>
        </w:rPr>
        <w:t xml:space="preserve">34. Средняя стоимость одной условной единицы пенсионных активов НПФ, которые находились в доверительном управлении управляющей компании в каком-либо месяце, рассчитывается как среднее арифметическое значение стоимости одной условной единицы пенсионных активов данного НПФ, которые находились в доверительном управлении указанной управляющей компании на конец каждого календарного дня данного месяца, рассчитанной в соответствии с пунктом 35 настоящих Правил.</w:t>
      </w:r>
    </w:p>
    <w:p>
      <w:pPr>
        <w:spacing w:after="60"/>
        <w:ind w:firstLine="567"/>
        <w:jc w:val="both"/>
      </w:pPr>
      <w:r>
        <w:rPr>
          <w:rFonts w:ascii="Arial" w:cs="Arial" w:eastAsia="Arial" w:hAnsi="Arial"/>
          <w:sz w:val="24"/>
          <w:szCs w:val="24"/>
        </w:rPr>
        <w:t xml:space="preserve">35. Стоимость одной условной единицы пенсионных активов НПФ, находившихся в доверительном управлении управляющей компании на конец соответствующего дня, рассчитывается управляющей компанией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Ci - стоимость одной условной единицы пенсионных активов НПФ, находившихся в доверительном управлении управляющей компании на конец данного дня;</w:t>
      </w:r>
    </w:p>
    <w:p>
      <w:pPr>
        <w:spacing w:after="60"/>
        <w:ind w:firstLine="567"/>
        <w:jc w:val="both"/>
      </w:pPr>
      <w:r>
        <w:rPr>
          <w:rFonts w:ascii="Arial" w:cs="Arial" w:eastAsia="Arial" w:hAnsi="Arial"/>
          <w:sz w:val="24"/>
          <w:szCs w:val="24"/>
        </w:rPr>
        <w:t xml:space="preserve">ПАi - текущая стоимость чистых пенсионных активов НПФ, которые находились в доверительном управлении управляющей компании на конец данного дня, рассчитанная в соответствии с пунктом 36 настоящих Правил;</w:t>
      </w:r>
    </w:p>
    <w:p>
      <w:pPr>
        <w:spacing w:after="60"/>
        <w:ind w:firstLine="567"/>
        <w:jc w:val="both"/>
      </w:pPr>
      <w:r>
        <w:rPr>
          <w:rFonts w:ascii="Arial" w:cs="Arial" w:eastAsia="Arial" w:hAnsi="Arial"/>
          <w:sz w:val="24"/>
          <w:szCs w:val="24"/>
        </w:rPr>
        <w:t xml:space="preserve">YEi - общее количество условных единиц пенсионных активов НПФ, которые находились в доверительном управлении управляющей компании на конец данного дня, рассчитанное в соответствии с пунктом 37 настоящих Правил.</w:t>
      </w:r>
    </w:p>
    <w:p>
      <w:pPr>
        <w:spacing w:after="60"/>
        <w:ind w:firstLine="567"/>
        <w:jc w:val="both"/>
      </w:pPr>
      <w:r>
        <w:rPr>
          <w:rFonts w:ascii="Arial" w:cs="Arial" w:eastAsia="Arial" w:hAnsi="Arial"/>
          <w:sz w:val="24"/>
          <w:szCs w:val="24"/>
        </w:rPr>
        <w:t xml:space="preserve">36. Текущая стоимость чистых пенсионных активов НПФ, которые находились в доверительном управлении управляющей компании на конец соответствующего дня, рассчитывается по формуле (с учетом особенностей, установленных главой 8 настоящих Правил):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w:t>
      </w:r>
      <w:r>
        <w:rPr>
          <w:rFonts w:ascii="Arial" w:cs="Arial" w:eastAsia="Arial" w:hAnsi="Arial"/>
          <w:sz w:val="24"/>
          <w:szCs w:val="24"/>
        </w:rPr>
        <w:t xml:space="preserve">i</w:t>
      </w:r>
      <w:r>
        <w:rPr>
          <w:rFonts w:ascii="Arial" w:cs="Arial" w:eastAsia="Arial" w:hAnsi="Arial"/>
          <w:sz w:val="24"/>
          <w:szCs w:val="24"/>
        </w:rPr>
        <w:t xml:space="preserve"> = ПА (</w:t>
      </w:r>
      <w:r>
        <w:rPr>
          <w:rFonts w:ascii="Arial" w:cs="Arial" w:eastAsia="Arial" w:hAnsi="Arial"/>
          <w:sz w:val="24"/>
          <w:szCs w:val="24"/>
        </w:rPr>
        <w:t xml:space="preserve">i</w:t>
      </w:r>
      <w:r>
        <w:rPr>
          <w:rFonts w:ascii="Arial" w:cs="Arial" w:eastAsia="Arial" w:hAnsi="Arial"/>
          <w:sz w:val="24"/>
          <w:szCs w:val="24"/>
        </w:rPr>
        <w:t xml:space="preserve">-1) + </w:t>
      </w:r>
      <w:r>
        <w:rPr>
          <w:rFonts w:ascii="Arial" w:cs="Arial" w:eastAsia="Arial" w:hAnsi="Arial"/>
          <w:sz w:val="24"/>
          <w:szCs w:val="24"/>
        </w:rPr>
        <w:t xml:space="preserve">Bi</w:t>
      </w:r>
      <w:r>
        <w:rPr>
          <w:rFonts w:ascii="Arial" w:cs="Arial" w:eastAsia="Arial" w:hAnsi="Arial"/>
          <w:sz w:val="24"/>
          <w:szCs w:val="24"/>
        </w:rPr>
        <w:t xml:space="preserve"> + </w:t>
      </w:r>
      <w:r>
        <w:rPr>
          <w:rFonts w:ascii="Arial" w:cs="Arial" w:eastAsia="Arial" w:hAnsi="Arial"/>
          <w:sz w:val="24"/>
          <w:szCs w:val="24"/>
        </w:rPr>
        <w:t xml:space="preserve">Ti</w:t>
      </w:r>
      <w:r>
        <w:rPr>
          <w:rFonts w:ascii="Arial" w:cs="Arial" w:eastAsia="Arial" w:hAnsi="Arial"/>
          <w:sz w:val="24"/>
          <w:szCs w:val="24"/>
        </w:rPr>
        <w:t xml:space="preserve"> + Д</w:t>
      </w:r>
      <w:r>
        <w:rPr>
          <w:rFonts w:ascii="Arial" w:cs="Arial" w:eastAsia="Arial" w:hAnsi="Arial"/>
          <w:sz w:val="24"/>
          <w:szCs w:val="24"/>
        </w:rPr>
        <w:t xml:space="preserve">i</w:t>
      </w:r>
      <w:r>
        <w:rPr>
          <w:rFonts w:ascii="Arial" w:cs="Arial" w:eastAsia="Arial" w:hAnsi="Arial"/>
          <w:sz w:val="24"/>
          <w:szCs w:val="24"/>
        </w:rPr>
        <w:t xml:space="preserve"> + И</w:t>
      </w:r>
      <w:r>
        <w:rPr>
          <w:rFonts w:ascii="Arial" w:cs="Arial" w:eastAsia="Arial" w:hAnsi="Arial"/>
          <w:sz w:val="24"/>
          <w:szCs w:val="24"/>
        </w:rPr>
        <w:t xml:space="preserve">i</w:t>
      </w:r>
      <w:r>
        <w:rPr>
          <w:rFonts w:ascii="Arial" w:cs="Arial" w:eastAsia="Arial" w:hAnsi="Arial"/>
          <w:sz w:val="24"/>
          <w:szCs w:val="24"/>
        </w:rPr>
        <w:t xml:space="preserve"> + П</w:t>
      </w:r>
      <w:r>
        <w:rPr>
          <w:rFonts w:ascii="Arial" w:cs="Arial" w:eastAsia="Arial" w:hAnsi="Arial"/>
          <w:sz w:val="24"/>
          <w:szCs w:val="24"/>
        </w:rPr>
        <w:t xml:space="preserve">i</w:t>
      </w:r>
      <w:r>
        <w:rPr>
          <w:rFonts w:ascii="Arial" w:cs="Arial" w:eastAsia="Arial" w:hAnsi="Arial"/>
          <w:sz w:val="24"/>
          <w:szCs w:val="24"/>
        </w:rPr>
        <w:t xml:space="preserve">1 + П</w:t>
      </w:r>
      <w:r>
        <w:rPr>
          <w:rFonts w:ascii="Arial" w:cs="Arial" w:eastAsia="Arial" w:hAnsi="Arial"/>
          <w:sz w:val="24"/>
          <w:szCs w:val="24"/>
        </w:rPr>
        <w:t xml:space="preserve">i</w:t>
      </w:r>
      <w:r>
        <w:rPr>
          <w:rFonts w:ascii="Arial" w:cs="Arial" w:eastAsia="Arial" w:hAnsi="Arial"/>
          <w:sz w:val="24"/>
          <w:szCs w:val="24"/>
        </w:rPr>
        <w:t xml:space="preserve">2 - </w:t>
      </w:r>
      <w:r>
        <w:rPr>
          <w:rFonts w:ascii="Arial" w:cs="Arial" w:eastAsia="Arial" w:hAnsi="Arial"/>
          <w:sz w:val="24"/>
          <w:szCs w:val="24"/>
        </w:rPr>
        <w:t xml:space="preserve">Hi</w:t>
      </w:r>
      <w:r>
        <w:rPr>
          <w:rFonts w:ascii="Arial" w:cs="Arial" w:eastAsia="Arial" w:hAnsi="Arial"/>
          <w:sz w:val="24"/>
          <w:szCs w:val="24"/>
        </w:rPr>
        <w:t xml:space="preserve">1 - </w:t>
      </w:r>
      <w:r>
        <w:rPr>
          <w:rFonts w:ascii="Arial" w:cs="Arial" w:eastAsia="Arial" w:hAnsi="Arial"/>
          <w:sz w:val="24"/>
          <w:szCs w:val="24"/>
        </w:rPr>
        <w:t xml:space="preserve">Hi</w:t>
      </w:r>
      <w:r>
        <w:rPr>
          <w:rFonts w:ascii="Arial" w:cs="Arial" w:eastAsia="Arial" w:hAnsi="Arial"/>
          <w:sz w:val="24"/>
          <w:szCs w:val="24"/>
        </w:rPr>
        <w:t xml:space="preserve">2 - </w:t>
      </w:r>
      <w:r>
        <w:rPr>
          <w:rFonts w:ascii="Arial" w:cs="Arial" w:eastAsia="Arial" w:hAnsi="Arial"/>
          <w:sz w:val="24"/>
          <w:szCs w:val="24"/>
        </w:rPr>
        <w:t xml:space="preserve">K</w:t>
      </w:r>
      <w:r>
        <w:rPr>
          <w:rFonts w:ascii="Arial" w:cs="Arial" w:eastAsia="Arial" w:hAnsi="Arial"/>
          <w:sz w:val="24"/>
          <w:szCs w:val="24"/>
        </w:rPr>
        <w:t xml:space="preserve">в</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ПА (i-1) - текущая стоимость чистых пенсионных активов НПФ, которые находились в доверительном управлении управляющей компании на конец предыдущего календарного дня;</w:t>
      </w:r>
    </w:p>
    <w:p>
      <w:pPr>
        <w:spacing w:after="60"/>
        <w:ind w:firstLine="567"/>
        <w:jc w:val="both"/>
      </w:pPr>
      <w:r>
        <w:rPr>
          <w:rFonts w:ascii="Arial" w:cs="Arial" w:eastAsia="Arial" w:hAnsi="Arial"/>
          <w:sz w:val="24"/>
          <w:szCs w:val="24"/>
        </w:rPr>
        <w:t xml:space="preserve">Bi - пенсионные взносы, поступившие в НПФ за данный день;</w:t>
      </w:r>
    </w:p>
    <w:p>
      <w:pPr>
        <w:spacing w:after="60"/>
        <w:ind w:firstLine="567"/>
        <w:jc w:val="both"/>
      </w:pPr>
      <w:r>
        <w:rPr>
          <w:rFonts w:ascii="Arial" w:cs="Arial" w:eastAsia="Arial" w:hAnsi="Arial"/>
          <w:sz w:val="24"/>
          <w:szCs w:val="24"/>
        </w:rPr>
        <w:t xml:space="preserve">Ti - переводы пенсионных активов из других НПФ, поступившие в НПФ за данный день;</w:t>
      </w:r>
    </w:p>
    <w:p>
      <w:pPr>
        <w:spacing w:after="60"/>
        <w:ind w:firstLine="567"/>
        <w:jc w:val="both"/>
      </w:pPr>
      <w:r>
        <w:rPr>
          <w:rFonts w:ascii="Arial" w:cs="Arial" w:eastAsia="Arial" w:hAnsi="Arial"/>
          <w:sz w:val="24"/>
          <w:szCs w:val="24"/>
        </w:rPr>
        <w:t xml:space="preserve">Д</w:t>
      </w:r>
      <w:r>
        <w:rPr>
          <w:rFonts w:ascii="Arial" w:cs="Arial" w:eastAsia="Arial" w:hAnsi="Arial"/>
          <w:sz w:val="24"/>
          <w:szCs w:val="24"/>
        </w:rPr>
        <w:t xml:space="preserve">i</w:t>
      </w:r>
      <w:r>
        <w:rPr>
          <w:rFonts w:ascii="Arial" w:cs="Arial" w:eastAsia="Arial" w:hAnsi="Arial"/>
          <w:sz w:val="24"/>
          <w:szCs w:val="24"/>
        </w:rPr>
        <w:t xml:space="preserve"> - инвестиционный доход по пенсионным активам НПФ, начисленный за данный день;</w:t>
      </w:r>
    </w:p>
    <w:p>
      <w:pPr>
        <w:spacing w:after="60"/>
        <w:ind w:firstLine="567"/>
        <w:jc w:val="both"/>
      </w:pPr>
      <w:r>
        <w:rPr>
          <w:rFonts w:ascii="Arial" w:cs="Arial" w:eastAsia="Arial" w:hAnsi="Arial"/>
          <w:sz w:val="24"/>
          <w:szCs w:val="24"/>
        </w:rPr>
        <w:t xml:space="preserve">Иi - вознаграждение (интерес), выплаченное банком по остатку денежных средств на инвестиционном счете НПФ в данный день;</w:t>
      </w:r>
    </w:p>
    <w:p>
      <w:pPr>
        <w:spacing w:after="60"/>
        <w:ind w:firstLine="567"/>
        <w:jc w:val="both"/>
      </w:pPr>
      <w:r>
        <w:rPr>
          <w:rFonts w:ascii="Arial" w:cs="Arial" w:eastAsia="Arial" w:hAnsi="Arial"/>
          <w:sz w:val="24"/>
          <w:szCs w:val="24"/>
        </w:rPr>
        <w:t xml:space="preserve">Пi1 - пеня, полученная НПФ в данный день за несвоевременное перечисление пенсионных взносов;</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2 - пеня, полученная НПФ в данный день за несвоевременное инвестирование пенсионных активов;</w:t>
      </w:r>
    </w:p>
    <w:p>
      <w:pPr>
        <w:spacing w:after="60"/>
        <w:ind w:firstLine="567"/>
        <w:jc w:val="both"/>
      </w:pPr>
      <w:r>
        <w:rPr>
          <w:rFonts w:ascii="Arial" w:cs="Arial" w:eastAsia="Arial" w:hAnsi="Arial"/>
          <w:sz w:val="24"/>
          <w:szCs w:val="24"/>
        </w:rPr>
        <w:t xml:space="preserve">Hi1 - начисленные за данный день пенсионные выплаты из НПФ, переводы из НПФ в другие НПФ и обязательства по ошибочно поступившим на инвестиционный счет НПФ суммам (за исключением ошибочно поступивших сумм, которые признаны в качестве таковых НПФ и обслуживающим его банком в день поступления, не размещены в финансовые инструменты и не зачислены на индивидуальные счета вкладчиков НПФ/получателей пенсионных выплат);</w:t>
      </w:r>
    </w:p>
    <w:p>
      <w:pPr>
        <w:spacing w:after="60"/>
        <w:ind w:firstLine="567"/>
        <w:jc w:val="both"/>
      </w:pPr>
      <w:r>
        <w:rPr>
          <w:rFonts w:ascii="Arial" w:cs="Arial" w:eastAsia="Arial" w:hAnsi="Arial"/>
          <w:sz w:val="24"/>
          <w:szCs w:val="24"/>
        </w:rPr>
        <w:t xml:space="preserve">Hi2 - начисленные за данный день суммы до выяснения;</w:t>
      </w:r>
    </w:p>
    <w:p>
      <w:pPr>
        <w:spacing w:after="60"/>
        <w:ind w:firstLine="567"/>
        <w:jc w:val="both"/>
      </w:pPr>
      <w:r>
        <w:rPr>
          <w:rFonts w:ascii="Arial" w:cs="Arial" w:eastAsia="Arial" w:hAnsi="Arial"/>
          <w:sz w:val="24"/>
          <w:szCs w:val="24"/>
        </w:rPr>
        <w:t xml:space="preserve">KBi - комиссионные вознаграждения НПФ и управляющей компании, начисленные за данный день.</w:t>
      </w:r>
    </w:p>
    <w:p>
      <w:pPr>
        <w:spacing w:after="60"/>
        <w:ind w:firstLine="567"/>
        <w:jc w:val="both"/>
      </w:pPr>
      <w:r>
        <w:rPr>
          <w:rFonts w:ascii="Arial" w:cs="Arial" w:eastAsia="Arial" w:hAnsi="Arial"/>
          <w:sz w:val="24"/>
          <w:szCs w:val="24"/>
        </w:rPr>
        <w:t xml:space="preserve">37. Общее количество условных единиц пенсионных активов НПФ, которые находились в доверительном управлении управляющей компании на текущий день, рассчитывается по формуле (с учетом особенностей, установленных пунктом 38 настоящих Правил):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YE (i-1) - общее количество условных единиц пенсионных активов НПФ, которые находились в доверительном управлении управляющей компании на конец последнего календарного дня, предшествующего данному дню;</w:t>
      </w:r>
    </w:p>
    <w:p>
      <w:pPr>
        <w:spacing w:after="60"/>
        <w:ind w:firstLine="567"/>
        <w:jc w:val="both"/>
      </w:pPr>
      <w:r>
        <w:rPr>
          <w:rFonts w:ascii="Arial" w:cs="Arial" w:eastAsia="Arial" w:hAnsi="Arial"/>
          <w:sz w:val="24"/>
          <w:szCs w:val="24"/>
        </w:rPr>
        <w:t xml:space="preserve">C (i-1) - стоимость одной условной единицы пенсионных активов НПФ, находившихся в доверительном управлении управляющей компании на конец последнего календарного дня, предшествующего данному дню.</w:t>
      </w:r>
    </w:p>
    <w:p>
      <w:pPr>
        <w:spacing w:after="60"/>
        <w:ind w:firstLine="567"/>
        <w:jc w:val="both"/>
      </w:pPr>
      <w:r>
        <w:rPr>
          <w:rFonts w:ascii="Arial" w:cs="Arial" w:eastAsia="Arial" w:hAnsi="Arial"/>
          <w:sz w:val="24"/>
          <w:szCs w:val="24"/>
        </w:rPr>
        <w:t xml:space="preserve">38. При первоначальном поступлении пенсионных активов НПФ в доверительное управление управляющей компании (за исключением установленного пунктом 39 настоящих Правил) расчет показателей Ci, ПА</w:t>
      </w:r>
      <w:r>
        <w:rPr>
          <w:rFonts w:ascii="Arial" w:cs="Arial" w:eastAsia="Arial" w:hAnsi="Arial"/>
          <w:sz w:val="24"/>
          <w:szCs w:val="24"/>
        </w:rPr>
        <w:t xml:space="preserve">i</w:t>
      </w:r>
      <w:r>
        <w:rPr>
          <w:rFonts w:ascii="Arial" w:cs="Arial" w:eastAsia="Arial" w:hAnsi="Arial"/>
          <w:sz w:val="24"/>
          <w:szCs w:val="24"/>
        </w:rPr>
        <w:t xml:space="preserve"> и YEi на конец первого дня нахождения пенсионных активов данного НПФ в доверительном управлении управляющей компании осуществляется исходя из следующих значений:</w:t>
      </w:r>
    </w:p>
    <w:p>
      <w:pPr>
        <w:spacing w:after="60"/>
        <w:ind w:firstLine="567"/>
        <w:jc w:val="both"/>
      </w:pPr>
      <w:r>
        <w:rPr>
          <w:rFonts w:ascii="Arial" w:cs="Arial" w:eastAsia="Arial" w:hAnsi="Arial"/>
          <w:sz w:val="24"/>
          <w:szCs w:val="24"/>
        </w:rPr>
        <w:t xml:space="preserve">С (i-1) - один расчетный показатель;</w:t>
      </w:r>
    </w:p>
    <w:p>
      <w:pPr>
        <w:spacing w:after="60"/>
        <w:ind w:firstLine="567"/>
        <w:jc w:val="both"/>
      </w:pPr>
      <w:r>
        <w:rPr>
          <w:rFonts w:ascii="Arial" w:cs="Arial" w:eastAsia="Arial" w:hAnsi="Arial"/>
          <w:sz w:val="24"/>
          <w:szCs w:val="24"/>
        </w:rPr>
        <w:t xml:space="preserve">ПА (i-1) - текущая стоимость чистых пенсионных активов НПФ, принятых управляющей компанией в доверительное управление;</w:t>
      </w:r>
    </w:p>
    <w:p>
      <w:pPr>
        <w:spacing w:after="60"/>
        <w:ind w:firstLine="567"/>
        <w:jc w:val="both"/>
      </w:pPr>
      <w:r>
        <w:rPr>
          <w:rFonts w:ascii="Arial" w:cs="Arial" w:eastAsia="Arial" w:hAnsi="Arial"/>
          <w:sz w:val="24"/>
          <w:szCs w:val="24"/>
        </w:rPr>
        <w:t xml:space="preserve">УЕ (i-1) - результат деления текущей стоимости чистых пенсионных активов НПФ, принятых управляющей компанией в доверительное управление, на один расчетный показатель.</w:t>
      </w:r>
    </w:p>
    <w:p>
      <w:pPr>
        <w:spacing w:after="60"/>
        <w:ind w:firstLine="567"/>
        <w:jc w:val="both"/>
      </w:pPr>
      <w:r>
        <w:rPr>
          <w:rFonts w:ascii="Arial" w:cs="Arial" w:eastAsia="Arial" w:hAnsi="Arial"/>
          <w:sz w:val="24"/>
          <w:szCs w:val="24"/>
        </w:rPr>
        <w:t xml:space="preserve">39. При передаче пенсионных активов НПФ в доверительное управление от одной управляющей компании другой управляющей компании расчет стоимости одной условной единицы пенсионных активов данного НПФ не прерывается и продолжает осуществляться управляющей компанией, принявшей его пенсионные активы в доверительное управление.</w:t>
      </w:r>
    </w:p>
    <w:p>
      <w:pPr>
        <w:spacing w:after="60"/>
        <w:ind w:firstLine="567"/>
        <w:jc w:val="both"/>
      </w:pPr>
      <w:r>
        <w:rPr>
          <w:rFonts w:ascii="Arial" w:cs="Arial" w:eastAsia="Arial" w:hAnsi="Arial"/>
          <w:sz w:val="24"/>
          <w:szCs w:val="24"/>
        </w:rPr>
        <w:t xml:space="preserve">40. Коэффициент номинальной доходности К</w:t>
      </w:r>
      <w:r>
        <w:rPr>
          <w:rFonts w:ascii="Arial" w:cs="Arial" w:eastAsia="Arial" w:hAnsi="Arial"/>
          <w:sz w:val="24"/>
          <w:szCs w:val="24"/>
        </w:rPr>
        <w:t xml:space="preserve">2</w:t>
      </w:r>
      <w:r>
        <w:rPr>
          <w:rFonts w:ascii="Arial" w:cs="Arial" w:eastAsia="Arial" w:hAnsi="Arial"/>
          <w:sz w:val="24"/>
          <w:szCs w:val="24"/>
        </w:rPr>
        <w:t xml:space="preserve"> рассчитывается управляющей компанией в отношении только тех НПФ, пенсионные активы которых находились в доверительном управлении данной или других управляющих компаний в течение последних двенадцати, тридцати шести и шестидесяти месяцев.</w:t>
      </w:r>
    </w:p>
    <w:p>
      <w:pPr>
        <w:spacing w:after="60"/>
        <w:ind w:firstLine="567"/>
        <w:jc w:val="both"/>
      </w:pPr>
      <w:r>
        <w:rPr>
          <w:rFonts w:ascii="Arial" w:cs="Arial" w:eastAsia="Arial" w:hAnsi="Arial"/>
          <w:sz w:val="24"/>
          <w:szCs w:val="24"/>
        </w:rPr>
        <w:t xml:space="preserve">41. На основании предоставленных управляющими компаниями расчетов коэффициента номинальной доходности К</w:t>
      </w:r>
      <w:r>
        <w:rPr>
          <w:rFonts w:ascii="Arial" w:cs="Arial" w:eastAsia="Arial" w:hAnsi="Arial"/>
          <w:sz w:val="24"/>
          <w:szCs w:val="24"/>
        </w:rPr>
        <w:t xml:space="preserve">2</w:t>
      </w:r>
      <w:r>
        <w:rPr>
          <w:rFonts w:ascii="Arial" w:cs="Arial" w:eastAsia="Arial" w:hAnsi="Arial"/>
          <w:sz w:val="24"/>
          <w:szCs w:val="24"/>
        </w:rPr>
        <w:t xml:space="preserve"> уполномоченный государственный орган в сфере надзора и регулирования финансового рынка ежемесячно рассчитывает в соответствии с пунктом 42 настоящих Правил и не позднее пятнадцатого числа текущего месяца публикует на официальном сайте значения:</w:t>
      </w:r>
    </w:p>
    <w:p>
      <w:pPr>
        <w:spacing w:after="60"/>
        <w:ind w:firstLine="567"/>
        <w:jc w:val="both"/>
      </w:pPr>
      <w:r>
        <w:rPr>
          <w:rFonts w:ascii="Arial" w:cs="Arial" w:eastAsia="Arial" w:hAnsi="Arial"/>
          <w:sz w:val="24"/>
          <w:szCs w:val="24"/>
        </w:rPr>
        <w:t xml:space="preserve">1) коэффициента номинальной доходности К</w:t>
      </w:r>
      <w:r>
        <w:rPr>
          <w:rFonts w:ascii="Arial" w:cs="Arial" w:eastAsia="Arial" w:hAnsi="Arial"/>
          <w:sz w:val="24"/>
          <w:szCs w:val="24"/>
        </w:rPr>
        <w:t xml:space="preserve">2</w:t>
      </w:r>
      <w:r>
        <w:rPr>
          <w:rFonts w:ascii="Arial" w:cs="Arial" w:eastAsia="Arial" w:hAnsi="Arial"/>
          <w:sz w:val="24"/>
          <w:szCs w:val="24"/>
        </w:rPr>
        <w:t xml:space="preserve"> по всем НПФ, соответствующим условиям пункта 40 настоящих Правил;</w:t>
      </w:r>
    </w:p>
    <w:p>
      <w:pPr>
        <w:spacing w:after="60"/>
        <w:ind w:firstLine="567"/>
        <w:jc w:val="both"/>
      </w:pPr>
      <w:r>
        <w:rPr>
          <w:rFonts w:ascii="Arial" w:cs="Arial" w:eastAsia="Arial" w:hAnsi="Arial"/>
          <w:sz w:val="24"/>
          <w:szCs w:val="24"/>
        </w:rPr>
        <w:t xml:space="preserve">2) средневзвешенного коэффициента номинального дохода за последние истекшие полные двенадцать, тридцать шесть, шестьдесят календарных месяцев по всем НПФ, соответствующим условиям пункта 40 настоящих Правил;</w:t>
      </w:r>
    </w:p>
    <w:p>
      <w:pPr>
        <w:spacing w:after="60"/>
        <w:ind w:firstLine="567"/>
        <w:jc w:val="both"/>
      </w:pPr>
      <w:r>
        <w:rPr>
          <w:rFonts w:ascii="Arial" w:cs="Arial" w:eastAsia="Arial" w:hAnsi="Arial"/>
          <w:sz w:val="24"/>
          <w:szCs w:val="24"/>
        </w:rPr>
        <w:t xml:space="preserve">3) скорректированного средневзвешенного коэффициента номинального дохода, рассчитанного в соответствии с пунктом 42 настоящих Правил.</w:t>
      </w:r>
    </w:p>
    <w:p>
      <w:pPr>
        <w:spacing w:after="60"/>
        <w:ind w:firstLine="567"/>
        <w:jc w:val="both"/>
      </w:pPr>
      <w:r>
        <w:rPr>
          <w:rFonts w:ascii="Arial" w:cs="Arial" w:eastAsia="Arial" w:hAnsi="Arial"/>
          <w:sz w:val="24"/>
          <w:szCs w:val="24"/>
        </w:rPr>
        <w:t xml:space="preserve">42. Средневзвешенный коэффициент номинального дохода рассчитывается по текущей стоимости чистых пенсионных активов, которые находились в доверительном управлении данной или других управляющих компаний двенадцать, тридцать шесть и шестьдесят месяцев (по состоянию на первый календарный день первого месяца периода, за который осуществлялся расчет коэффициента К</w:t>
      </w:r>
      <w:r>
        <w:rPr>
          <w:rFonts w:ascii="Arial" w:cs="Arial" w:eastAsia="Arial" w:hAnsi="Arial"/>
          <w:sz w:val="24"/>
          <w:szCs w:val="24"/>
        </w:rPr>
        <w:t xml:space="preserve">2</w:t>
      </w:r>
      <w:r>
        <w:rPr>
          <w:rFonts w:ascii="Arial" w:cs="Arial" w:eastAsia="Arial" w:hAnsi="Arial"/>
          <w:sz w:val="24"/>
          <w:szCs w:val="24"/>
        </w:rPr>
        <w:t xml:space="preserve">), как средневзвешенная величина коэффициентов К</w:t>
      </w:r>
      <w:r>
        <w:rPr>
          <w:rFonts w:ascii="Arial" w:cs="Arial" w:eastAsia="Arial" w:hAnsi="Arial"/>
          <w:sz w:val="24"/>
          <w:szCs w:val="24"/>
        </w:rPr>
        <w:t xml:space="preserve">2</w:t>
      </w:r>
      <w:r>
        <w:rPr>
          <w:rFonts w:ascii="Arial" w:cs="Arial" w:eastAsia="Arial" w:hAnsi="Arial"/>
          <w:sz w:val="24"/>
          <w:szCs w:val="24"/>
        </w:rPr>
        <w:t xml:space="preserve"> за один и тот же период по всем НПФ, соответствующим условиям пункта 40 настоящих Правил.</w:t>
      </w:r>
    </w:p>
    <w:p>
      <w:pPr>
        <w:spacing w:after="60"/>
        <w:ind w:firstLine="567"/>
        <w:jc w:val="both"/>
      </w:pPr>
      <w:r>
        <w:rPr>
          <w:rFonts w:ascii="Arial" w:cs="Arial" w:eastAsia="Arial" w:hAnsi="Arial"/>
          <w:sz w:val="24"/>
          <w:szCs w:val="24"/>
        </w:rPr>
        <w:t xml:space="preserve">Скорректированный средневзвешенный коэффициент номинального дохода рассчитывается как средневзвешенная величина по текущей стоимости чистых пенсионных активов, которые находились в доверительном управлении данной или других управляющих компаний шестьдесят месяцев (по состоянию на первый календарный день первого месяца периода, за который осуществлялся расчет коэффициента К</w:t>
      </w:r>
      <w:r>
        <w:rPr>
          <w:rFonts w:ascii="Arial" w:cs="Arial" w:eastAsia="Arial" w:hAnsi="Arial"/>
          <w:sz w:val="24"/>
          <w:szCs w:val="24"/>
        </w:rPr>
        <w:t xml:space="preserve">2</w:t>
      </w:r>
      <w:r>
        <w:rPr>
          <w:rFonts w:ascii="Arial" w:cs="Arial" w:eastAsia="Arial" w:hAnsi="Arial"/>
          <w:sz w:val="24"/>
          <w:szCs w:val="24"/>
        </w:rPr>
        <w:t xml:space="preserve">), величина коэффициентов К</w:t>
      </w:r>
      <w:r>
        <w:rPr>
          <w:rFonts w:ascii="Arial" w:cs="Arial" w:eastAsia="Arial" w:hAnsi="Arial"/>
          <w:sz w:val="24"/>
          <w:szCs w:val="24"/>
        </w:rPr>
        <w:t xml:space="preserve">2</w:t>
      </w:r>
      <w:r>
        <w:rPr>
          <w:rFonts w:ascii="Arial" w:cs="Arial" w:eastAsia="Arial" w:hAnsi="Arial"/>
          <w:sz w:val="24"/>
          <w:szCs w:val="24"/>
        </w:rPr>
        <w:t xml:space="preserve"> за один и тот же период по НПФ, значение коэффициента номинального дохода которых не превышает ста тридцати процентов от значения средневзвешенного коэффициента номинального дохода за соответствующий период, рассчитанного по текущей стоимости чистых пенсионных активов, которые находились в доверительном управлении данной или других управляющих компаний шестьдесят месяцев.</w:t>
      </w:r>
    </w:p>
    <w:p>
      <w:pPr>
        <w:spacing w:after="60"/>
        <w:ind w:firstLine="567"/>
        <w:jc w:val="both"/>
      </w:pPr>
      <w:r>
        <w:rPr>
          <w:rFonts w:ascii="Arial" w:cs="Arial" w:eastAsia="Arial" w:hAnsi="Arial"/>
          <w:sz w:val="24"/>
          <w:szCs w:val="24"/>
        </w:rPr>
        <w:t xml:space="preserve">43. Минимальное значение коэффициента номинального дохода составляет семьдесят процентов от значения скорректированного средневзвешенного коэффициента номинального дохода за соответствующий период.</w:t>
      </w:r>
    </w:p>
    <w:p>
      <w:pPr>
        <w:spacing w:after="60"/>
        <w:ind w:firstLine="567"/>
        <w:jc w:val="both"/>
      </w:pPr>
      <w:r>
        <w:rPr>
          <w:rFonts w:ascii="Arial" w:cs="Arial" w:eastAsia="Arial" w:hAnsi="Arial"/>
          <w:sz w:val="24"/>
          <w:szCs w:val="24"/>
        </w:rPr>
        <w:t xml:space="preserve">44. При отрицательном отклонении значения коэффициента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по каждому отдельному НПФ, пенсионные активы которого находились в доверительном управлении данной управляющей компании, от минимального значения коэффициента номинального дохода, сложившегося на первое января года, следующего за отчетным, управляющая компания возмещает НПФ отрицательную разницу между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по каждому отдельному НПФ, пенсионные активы которого находились в доверительном управлении данной управляющей компании, и минимальным значением коэффициента номинального дохода путем зачисления на банковский счет НПФ в банке соответствующей суммы денежных средств, рассчитанной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(C</w:t>
      </w:r>
      <w:r>
        <w:rPr>
          <w:rFonts w:ascii="Arial" w:cs="Arial" w:eastAsia="Arial" w:hAnsi="Arial"/>
          <w:sz w:val="24"/>
          <w:szCs w:val="24"/>
        </w:rPr>
        <w:t xml:space="preserve">min</w:t>
      </w:r>
      <w:r>
        <w:rPr>
          <w:rFonts w:ascii="Arial" w:cs="Arial" w:eastAsia="Arial" w:hAnsi="Arial"/>
          <w:sz w:val="24"/>
          <w:szCs w:val="24"/>
        </w:rPr>
        <w:t xml:space="preserve"> - </w:t>
      </w:r>
      <w:r>
        <w:rPr>
          <w:rFonts w:ascii="Arial" w:cs="Arial" w:eastAsia="Arial" w:hAnsi="Arial"/>
          <w:sz w:val="24"/>
          <w:szCs w:val="24"/>
        </w:rPr>
        <w:t xml:space="preserve">С</w:t>
      </w:r>
      <w:r>
        <w:rPr>
          <w:rFonts w:ascii="Arial" w:cs="Arial" w:eastAsia="Arial" w:hAnsi="Arial"/>
          <w:sz w:val="24"/>
          <w:szCs w:val="24"/>
        </w:rPr>
        <w:t xml:space="preserve">t</w:t>
      </w:r>
      <w:r>
        <w:rPr>
          <w:rFonts w:ascii="Arial" w:cs="Arial" w:eastAsia="Arial" w:hAnsi="Arial"/>
          <w:sz w:val="24"/>
          <w:szCs w:val="24"/>
        </w:rPr>
        <w:t xml:space="preserve">) * Y</w:t>
      </w:r>
      <w:r>
        <w:rPr>
          <w:rFonts w:ascii="Arial" w:cs="Arial" w:eastAsia="Arial" w:hAnsi="Arial"/>
          <w:sz w:val="24"/>
          <w:szCs w:val="24"/>
        </w:rPr>
        <w:t xml:space="preserve">ei</w:t>
      </w:r>
      <w:r>
        <w:rPr>
          <w:rFonts w:ascii="Arial" w:cs="Arial" w:eastAsia="Arial" w:hAnsi="Arial"/>
          <w:sz w:val="24"/>
          <w:szCs w:val="24"/>
        </w:rPr>
        <w:t xml:space="preserve">, </w:t>
      </w:r>
      <w:r>
        <w:rPr>
          <w:rFonts w:ascii="Arial" w:cs="Arial" w:eastAsia="Arial" w:hAnsi="Arial"/>
          <w:sz w:val="24"/>
          <w:szCs w:val="24"/>
        </w:rPr>
        <w:t xml:space="preserve">где</w:t>
      </w:r>
      <w:r>
        <w:rPr>
          <w:rFonts w:ascii="Arial" w:cs="Arial" w:eastAsia="Arial" w:hAnsi="Arial"/>
          <w:sz w:val="24"/>
          <w:szCs w:val="24"/>
        </w:rPr>
        <w:t xml:space="preserve">: C</w:t>
      </w:r>
      <w:r>
        <w:rPr>
          <w:rFonts w:ascii="Arial" w:cs="Arial" w:eastAsia="Arial" w:hAnsi="Arial"/>
          <w:sz w:val="24"/>
          <w:szCs w:val="24"/>
        </w:rPr>
        <w:t xml:space="preserve">min</w:t>
      </w:r>
      <w:r>
        <w:rPr>
          <w:rFonts w:ascii="Arial" w:cs="Arial" w:eastAsia="Arial" w:hAnsi="Arial"/>
          <w:sz w:val="24"/>
          <w:szCs w:val="24"/>
        </w:rPr>
        <w:t xml:space="preserve"> &gt; </w:t>
      </w:r>
      <w:r>
        <w:rPr>
          <w:rFonts w:ascii="Arial" w:cs="Arial" w:eastAsia="Arial" w:hAnsi="Arial"/>
          <w:sz w:val="24"/>
          <w:szCs w:val="24"/>
        </w:rPr>
        <w:t xml:space="preserve">С</w:t>
      </w:r>
      <w:r>
        <w:rPr>
          <w:rFonts w:ascii="Arial" w:cs="Arial" w:eastAsia="Arial" w:hAnsi="Arial"/>
          <w:sz w:val="24"/>
          <w:szCs w:val="24"/>
        </w:rPr>
        <w:t xml:space="preserve">t</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S - сумма обязательств управляющей компании перед НПФ, пенсионные активы которого находились в доверительном управлении данной управляющей компании, по возмещению коэффициента номинального дохода К</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min</w:t>
      </w:r>
      <w:r>
        <w:rPr>
          <w:rFonts w:ascii="Arial" w:cs="Arial" w:eastAsia="Arial" w:hAnsi="Arial"/>
          <w:sz w:val="24"/>
          <w:szCs w:val="24"/>
        </w:rPr>
        <w:t xml:space="preserve"> - необходимая средняя стоимость одной условной единицы пенсионных активов НПФ, пенсионные активы которого находились в доверительном управлении данной управляющей компании, для определения минимального значения коэффициента номинального дохода на дату произведения расчета;</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t</w:t>
      </w:r>
      <w:r>
        <w:rPr>
          <w:rFonts w:ascii="Arial" w:cs="Arial" w:eastAsia="Arial" w:hAnsi="Arial"/>
          <w:sz w:val="24"/>
          <w:szCs w:val="24"/>
        </w:rPr>
        <w:t xml:space="preserve"> - средняя стоимость одной условной единицы пенсионных активов НПФ, которые находились в доверительном управлении управляющей компании на дату произведения расчета;</w:t>
      </w:r>
    </w:p>
    <w:p>
      <w:pPr>
        <w:spacing w:after="60"/>
        <w:ind w:firstLine="567"/>
        <w:jc w:val="both"/>
      </w:pPr>
      <w:r>
        <w:rPr>
          <w:rFonts w:ascii="Arial" w:cs="Arial" w:eastAsia="Arial" w:hAnsi="Arial"/>
          <w:sz w:val="24"/>
          <w:szCs w:val="24"/>
        </w:rPr>
        <w:t xml:space="preserve">Y</w:t>
      </w:r>
      <w:r>
        <w:rPr>
          <w:rFonts w:ascii="Arial" w:cs="Arial" w:eastAsia="Arial" w:hAnsi="Arial"/>
          <w:sz w:val="24"/>
          <w:szCs w:val="24"/>
        </w:rPr>
        <w:t xml:space="preserve">ei</w:t>
      </w:r>
      <w:r>
        <w:rPr>
          <w:rFonts w:ascii="Arial" w:cs="Arial" w:eastAsia="Arial" w:hAnsi="Arial"/>
          <w:sz w:val="24"/>
          <w:szCs w:val="24"/>
        </w:rPr>
        <w:t xml:space="preserve"> - общее количество условных единиц пенсионных активов НПФ, которые находились в доверительном управлении управляющей компании на дату произведения расчета.</w:t>
      </w:r>
    </w:p>
    <w:p>
      <w:pPr>
        <w:spacing w:after="60"/>
        <w:ind w:firstLine="567"/>
        <w:jc w:val="both"/>
      </w:pPr>
      <w:r>
        <w:rPr>
          <w:rFonts w:ascii="Arial" w:cs="Arial" w:eastAsia="Arial" w:hAnsi="Arial"/>
          <w:sz w:val="24"/>
          <w:szCs w:val="24"/>
        </w:rPr>
        <w:t xml:space="preserve">Значение С</w:t>
      </w:r>
      <w:r>
        <w:rPr>
          <w:rFonts w:ascii="Arial" w:cs="Arial" w:eastAsia="Arial" w:hAnsi="Arial"/>
          <w:sz w:val="24"/>
          <w:szCs w:val="24"/>
        </w:rPr>
        <w:t xml:space="preserve">min</w:t>
      </w:r>
      <w:r>
        <w:rPr>
          <w:rFonts w:ascii="Arial" w:cs="Arial" w:eastAsia="Arial" w:hAnsi="Arial"/>
          <w:sz w:val="24"/>
          <w:szCs w:val="24"/>
        </w:rPr>
        <w:t xml:space="preserve">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min</w:t>
      </w:r>
      <w:r>
        <w:rPr>
          <w:rFonts w:ascii="Arial" w:cs="Arial" w:eastAsia="Arial" w:hAnsi="Arial"/>
          <w:sz w:val="24"/>
          <w:szCs w:val="24"/>
        </w:rPr>
        <w:t xml:space="preserve"> = (К</w:t>
      </w:r>
      <w:r>
        <w:rPr>
          <w:rFonts w:ascii="Arial" w:cs="Arial" w:eastAsia="Arial" w:hAnsi="Arial"/>
          <w:sz w:val="24"/>
          <w:szCs w:val="24"/>
        </w:rPr>
        <w:t xml:space="preserve">ср</w:t>
      </w:r>
      <w:r>
        <w:rPr>
          <w:rFonts w:ascii="Arial" w:cs="Arial" w:eastAsia="Arial" w:hAnsi="Arial"/>
          <w:sz w:val="24"/>
          <w:szCs w:val="24"/>
        </w:rPr>
        <w:t xml:space="preserve"> * 70% + 100) / 100 * С</w:t>
      </w:r>
      <w:r>
        <w:rPr>
          <w:rFonts w:ascii="Arial" w:cs="Arial" w:eastAsia="Arial" w:hAnsi="Arial"/>
          <w:sz w:val="24"/>
          <w:szCs w:val="24"/>
        </w:rPr>
        <w:t xml:space="preserve">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ср</w:t>
      </w:r>
      <w:r>
        <w:rPr>
          <w:rFonts w:ascii="Arial" w:cs="Arial" w:eastAsia="Arial" w:hAnsi="Arial"/>
          <w:sz w:val="24"/>
          <w:szCs w:val="24"/>
        </w:rPr>
        <w:t xml:space="preserve"> - значение скорректированного средневзвешенного коэффициента номинального дохода по пенсионным активам НПФ, сложившееся на дату произведения расчета;</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o</w:t>
      </w:r>
      <w:r>
        <w:rPr>
          <w:rFonts w:ascii="Arial" w:cs="Arial" w:eastAsia="Arial" w:hAnsi="Arial"/>
          <w:sz w:val="24"/>
          <w:szCs w:val="24"/>
        </w:rPr>
        <w:t xml:space="preserve"> - средняя стоимость одной условной единицы пенсионных активов НПФ, которые находились у НПФ шестьдесят месяцев назад, предшествующих дате произведения расчета.</w:t>
      </w:r>
    </w:p>
    <w:p>
      <w:pPr>
        <w:spacing w:after="60"/>
        <w:ind w:firstLine="567"/>
        <w:jc w:val="both"/>
      </w:pPr>
      <w:r>
        <w:rPr>
          <w:rFonts w:ascii="Arial" w:cs="Arial" w:eastAsia="Arial" w:hAnsi="Arial"/>
          <w:sz w:val="24"/>
          <w:szCs w:val="24"/>
        </w:rPr>
        <w:t xml:space="preserve">45. Сумма, рассчитанная в соответствии с пунктом 44 настоящих Правил, зачисляется на счет НПФ в течение десяти календарных дней с даты предъявления НПФ требования к управляющей компании о возмещении отрицательной разницы между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в НПФ, пенсионные активы которого находились в доверительном управлении данной управляющей компании, и минимальным значением коэффициента номинального дохода.</w:t>
      </w:r>
    </w:p>
    <w:p>
      <w:pPr>
        <w:spacing w:after="60"/>
        <w:ind w:firstLine="567"/>
        <w:jc w:val="both"/>
      </w:pPr>
      <w:r>
        <w:rPr>
          <w:rFonts w:ascii="Arial" w:cs="Arial" w:eastAsia="Arial" w:hAnsi="Arial"/>
          <w:sz w:val="24"/>
          <w:szCs w:val="24"/>
        </w:rPr>
        <w:t xml:space="preserve">46. Управляющая компания в течение дня, следующего за днем зачисления суммы возмещения отрицательной разницы между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по каждому отдельному НПФ, пенсионные активы которого находились в доверительном управлении данной управляющей компании, и минимальным значением коэффициента номинального дохода, направляет в уполномоченный государственный орган в сфере надзора и регулирования финансового рынка информацию о зачислении данной суммы с подтверждением банка.</w:t>
      </w:r>
    </w:p>
    <w:p>
      <w:pPr>
        <w:spacing w:after="60"/>
        <w:ind w:firstLine="567"/>
        <w:jc w:val="both"/>
      </w:pPr>
      <w:r>
        <w:rPr>
          <w:rFonts w:ascii="Arial" w:cs="Arial" w:eastAsia="Arial" w:hAnsi="Arial"/>
          <w:sz w:val="24"/>
          <w:szCs w:val="24"/>
        </w:rPr>
        <w:t xml:space="preserve">Требования, установленные в пунктах 44, 45 и настоящем пункте настоящих Правил, не распространяются на управляющую компанию, осуществляющую доверительное управление пенсионными активами в отношении НПФ, принявшего пенсионные активы и обязательства НПФ, лишенного лицензии на осуществление деятельности НПФ, на конец календарного года, в котором были приняты данные пенсионные активы и обязательства, а также на конец года, следующего за годом принятия пенсионных активов и обязательств, в случае, если с момента их передачи до конца календарного года оставалось менее девяти месяцев.".</w:t>
      </w:r>
    </w:p>
    <w:p>
      <w:pPr>
        <w:spacing w:after="480" w:before="48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nidqfhxfbxdxdiapfbj_">
      <w:r>
        <w:rPr>
          <w:rFonts w:ascii="Arial" w:cs="Arial" w:eastAsia="Arial" w:hAnsi="Arial"/>
          <w:color w:val="132D3F"/>
          <w:sz w:val="16"/>
          <w:szCs w:val="16"/>
          <w:u w:val="single"/>
        </w:rPr>
        <w:t xml:space="preserve">dalil.kg/document/98299</w:t>
      </w:r>
    </w:hyperlink>
  </w:p>
  <w:p>
    <w:pPr>
      <w:spacing w:after="0" w:before="40"/>
      <w:jc w:val="center"/>
    </w:pPr>
    <w:hyperlink w:history="1" r:id="rId0u2-3oss3w7ufmib_p2i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grze10esvydpcx3khzs" Type="http://schemas.openxmlformats.org/officeDocument/2006/relationships/hyperlink" Target="https://dalil.kg/document/230048942" TargetMode="External"/><Relationship Id="rIdj0j1tbyh_0h-zofjd4ghv" Type="http://schemas.openxmlformats.org/officeDocument/2006/relationships/hyperlink" Target="https://dalil.kg/document/98295" TargetMode="External"/><Relationship Id="rIdub_jo77_eepb_jewzoun7" Type="http://schemas.openxmlformats.org/officeDocument/2006/relationships/hyperlink" Target="https://dalil.kg/document/99184" TargetMode="External"/><Relationship Id="rIdp9y7xdfiqizkutqhxftvz" Type="http://schemas.openxmlformats.org/officeDocument/2006/relationships/hyperlink" Target="https://dalil.kg/document/159915" TargetMode="External"/><Relationship Id="rIdyogoz97i6aiwy6dncnbqu" Type="http://schemas.openxmlformats.org/officeDocument/2006/relationships/hyperlink" Target="https://dalil.kg/document/203321" TargetMode="External"/><Relationship Id="rId8hbuuu6n6cufo9oo64ihp" Type="http://schemas.openxmlformats.org/officeDocument/2006/relationships/hyperlink" Target="https://dalil.kg/document/159915" TargetMode="External"/><Relationship Id="rIdco8k_w_2zlhstygsfqldg" Type="http://schemas.openxmlformats.org/officeDocument/2006/relationships/hyperlink" Target="https://dalil.kg/document/203321" TargetMode="External"/><Relationship Id="rIdxjvghi0aqi0hd3muqbwek" Type="http://schemas.openxmlformats.org/officeDocument/2006/relationships/hyperlink" Target="https://dalil.kg/document/205090" TargetMode="External"/><Relationship Id="rIdc1nlns6kprdg0ka07mcqc" Type="http://schemas.openxmlformats.org/officeDocument/2006/relationships/hyperlink" Target="https://dalil.kg/document/203321" TargetMode="External"/><Relationship Id="rIdouipfgt8dlrm3mjju53vf" Type="http://schemas.openxmlformats.org/officeDocument/2006/relationships/hyperlink" Target="https://dalil.kg/document/93100" TargetMode="External"/><Relationship Id="rIdl5ypcunlf9ztiorxmwi87" Type="http://schemas.openxmlformats.org/officeDocument/2006/relationships/hyperlink" Target="https://dalil.kg/document/9277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nidqfhxfbxdxdiapfbj_" Type="http://schemas.openxmlformats.org/officeDocument/2006/relationships/hyperlink" Target="https://dalil.kg/document/98299" TargetMode="External"/><Relationship Id="rId0u2-3oss3w7ufmib_p2i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2026-09-24T15:15:57.984Z</dcterms:created>
  <dcterms:modified xsi:type="dcterms:W3CDTF">2026-09-24T15:15:57.984Z</dcterms:modified>
</cp:coreProperties>
</file>

<file path=docProps/custom.xml><?xml version="1.0" encoding="utf-8"?>
<Properties xmlns="http://schemas.openxmlformats.org/officeDocument/2006/custom-properties" xmlns:vt="http://schemas.openxmlformats.org/officeDocument/2006/docPropsVTypes"/>
</file>