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3ot9xg-w5jc5t-zrcq00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14 июля 2016 года № 395</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28"/>
          <w:szCs w:val="28"/>
        </w:rPr>
        <w:t xml:space="preserve">ПОСТАНОВЛЕНИЕ</w:t>
      </w:r>
    </w:p>
    <w:p>
      <w:pPr>
        <w:spacing w:after="240"/>
        <w:jc w:val="left"/>
      </w:pPr>
      <w:r>
        <w:rPr>
          <w:rFonts w:ascii="Arial" w:cs="Arial" w:eastAsia="Arial" w:hAnsi="Arial"/>
          <w:sz w:val="24"/>
          <w:szCs w:val="24"/>
        </w:rPr>
        <w:t xml:space="preserve">от 12 июня 2015 года № 354</w:t>
      </w:r>
    </w:p>
    <w:p>
      <w:pPr>
        <w:spacing w:after="480" w:before="200"/>
        <w:jc w:val="center"/>
      </w:pPr>
      <w:r>
        <w:rPr>
          <w:rFonts w:ascii="Arial" w:cs="Arial" w:eastAsia="Arial" w:hAnsi="Arial"/>
          <w:b/>
          <w:bCs/>
          <w:sz w:val="28"/>
          <w:szCs w:val="28"/>
        </w:rPr>
        <w:t xml:space="preserve">О Прогнозе социально-экономического развития Кыргызской Республики на 2016 год и 2017-2018 годы</w:t>
      </w:r>
    </w:p>
    <w:p>
      <w:pPr>
        <w:spacing w:after="480"/>
        <w:jc w:val="center"/>
      </w:pPr>
      <w:r>
        <w:rPr>
          <w:rFonts w:ascii="Arial" w:cs="Arial" w:eastAsia="Arial" w:hAnsi="Arial"/>
          <w:i/>
          <w:iCs/>
          <w:sz w:val="24"/>
          <w:szCs w:val="24"/>
        </w:rPr>
        <w:t xml:space="preserve">(В редакции постановления Правительства КР от </w:t>
      </w:r>
      <w:hyperlink w:history="1" r:id="rIdy1hrxsfclmel0eamgmyf9">
        <w:r>
          <w:rPr>
            <w:rFonts w:ascii="Arial" w:cs="Arial" w:eastAsia="Arial" w:hAnsi="Arial"/>
            <w:i/>
            <w:iCs/>
            <w:color w:val="1D4ED8"/>
            <w:sz w:val="24"/>
            <w:szCs w:val="24"/>
            <w:u w:val="single"/>
          </w:rPr>
          <w:t xml:space="preserve">21 августа 2015 года № 597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В целях определения макроэкономических параметров развития Кыргызской Республики на 2016 год и 2017-2018 годы, в соответствии с </w:t>
      </w:r>
      <w:hyperlink w:history="1" r:id="rId-cpjn-hy6xvcmhbvjsmm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прогнозировании социально-экономического развития Кыргызской Республики", статьями 10 и 17 </w:t>
      </w:r>
      <w:hyperlink w:history="1" r:id="rId-xnv1rc-82wdmsyicsb-n">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Утвердить Прогноз социально-экономического развития Кыргызской Республики на 2016 год и 2017-2018 годы согласно </w:t>
      </w:r>
      <w:hyperlink w:history="1" r:id="rId7tgirjwfuwzvs3mkwmuqo">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Министерству финансов Кыргызской Республики при формировании проекта республиканского бюджета на 2016 год и прогнозе на 2017-2018 годы взять за основу утвержденные макроэкономические показатели развития Кыргызской Республики на 2016 год и 2017-2018 годы.</w:t>
      </w:r>
    </w:p>
    <w:p>
      <w:pPr>
        <w:spacing w:after="60"/>
        <w:ind w:firstLine="567"/>
        <w:jc w:val="both"/>
      </w:pPr>
      <w:r>
        <w:rPr>
          <w:rFonts w:ascii="Arial" w:cs="Arial" w:eastAsia="Arial" w:hAnsi="Arial"/>
          <w:sz w:val="24"/>
          <w:szCs w:val="24"/>
        </w:rPr>
        <w:t xml:space="preserve">3. Министерствам, государственному комитету, административным ведомствам, аппаратам полномочных представителей Правительства Кыргызской Республики в областях, мэриям городов Бишкек и Ош:</w:t>
      </w:r>
    </w:p>
    <w:p>
      <w:pPr>
        <w:spacing w:after="60"/>
        <w:ind w:firstLine="567"/>
        <w:jc w:val="both"/>
      </w:pPr>
      <w:r>
        <w:rPr>
          <w:rFonts w:ascii="Arial" w:cs="Arial" w:eastAsia="Arial" w:hAnsi="Arial"/>
          <w:sz w:val="24"/>
          <w:szCs w:val="24"/>
        </w:rPr>
        <w:t xml:space="preserve">- на ежемесячной основе осуществлять мониторинг выполнения целевых показателей социально-экономического развития Кыргызской Республики на 2016 год;</w:t>
      </w:r>
    </w:p>
    <w:p>
      <w:pPr>
        <w:spacing w:after="60"/>
        <w:ind w:firstLine="567"/>
        <w:jc w:val="both"/>
      </w:pPr>
      <w:r>
        <w:rPr>
          <w:rFonts w:ascii="Arial" w:cs="Arial" w:eastAsia="Arial" w:hAnsi="Arial"/>
          <w:sz w:val="24"/>
          <w:szCs w:val="24"/>
        </w:rPr>
        <w:t xml:space="preserve">- ежемесячно, не позднее 15 числа месяца, следующего за отчетным периодом, представлять в Министерство экономики Кыргызской Республики информацию о ходе выполнения целевых показателей социально-экономического развития Кыргызской Республики в 2016 году.</w:t>
      </w:r>
    </w:p>
    <w:p>
      <w:pPr>
        <w:spacing w:after="60"/>
        <w:ind w:firstLine="567"/>
        <w:jc w:val="both"/>
      </w:pPr>
      <w:r>
        <w:rPr>
          <w:rFonts w:ascii="Arial" w:cs="Arial" w:eastAsia="Arial" w:hAnsi="Arial"/>
          <w:sz w:val="24"/>
          <w:szCs w:val="24"/>
        </w:rPr>
        <w:t xml:space="preserve">4. Министерству экономики Кыргызской Республики:</w:t>
      </w:r>
    </w:p>
    <w:p>
      <w:pPr>
        <w:spacing w:after="60"/>
        <w:ind w:firstLine="567"/>
        <w:jc w:val="both"/>
      </w:pPr>
      <w:r>
        <w:rPr>
          <w:rFonts w:ascii="Arial" w:cs="Arial" w:eastAsia="Arial" w:hAnsi="Arial"/>
          <w:sz w:val="24"/>
          <w:szCs w:val="24"/>
        </w:rPr>
        <w:t xml:space="preserve">- ежеквартально обобщать результаты мониторинга выполнения целевых показателей социально-экономического развития Кыргызской Республики министерствами, государственным комитетом, административными ведомствами, аппаратами полномочных представителей Правительства Кыргызской Республики в областях, мэриями городов Бишкек и Ош и не позднее 25 числа месяца, следующего за отчетным кварталом, представлять в Аппарат Правительства Кыргызской Республики информацию о выполнении целевых показателей социально-экономического развития Кыргызской Республики в 2016 году;</w:t>
      </w:r>
    </w:p>
    <w:p>
      <w:pPr>
        <w:spacing w:after="60"/>
        <w:ind w:firstLine="567"/>
        <w:jc w:val="both"/>
      </w:pPr>
      <w:r>
        <w:rPr>
          <w:rFonts w:ascii="Arial" w:cs="Arial" w:eastAsia="Arial" w:hAnsi="Arial"/>
          <w:sz w:val="24"/>
          <w:szCs w:val="24"/>
        </w:rPr>
        <w:t xml:space="preserve">- опубликовать Прогноз социально-экономического развития Кыргызской Республики на 2016 год и 2017-2018 годы на официальном веб-сайте Министерства экономики Кыргызской Республики.</w:t>
      </w:r>
    </w:p>
    <w:p>
      <w:pPr>
        <w:spacing w:after="60"/>
        <w:ind w:firstLine="567"/>
        <w:jc w:val="both"/>
      </w:pPr>
      <w:r>
        <w:rPr>
          <w:rFonts w:ascii="Arial" w:cs="Arial" w:eastAsia="Arial" w:hAnsi="Arial"/>
          <w:sz w:val="24"/>
          <w:szCs w:val="24"/>
        </w:rPr>
        <w:t xml:space="preserve">5. Признать утратившим силу </w:t>
      </w:r>
      <w:hyperlink w:history="1" r:id="rIdk7elzqobkvznyubchugi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w:t>
      </w:r>
      <w:hyperlink w:history="1" r:id="rIdar6ph046scpvitnv9dv_t">
        <w:r>
          <w:rPr>
            <w:rFonts w:ascii="Arial" w:cs="Arial" w:eastAsia="Arial" w:hAnsi="Arial"/>
            <w:color w:val="1D4ED8"/>
            <w:sz w:val="24"/>
            <w:szCs w:val="24"/>
            <w:u w:val="single"/>
          </w:rPr>
          <w:t xml:space="preserve">Прогнозе</w:t>
        </w:r>
      </w:hyperlink>
      <w:r>
        <w:rPr>
          <w:rFonts w:ascii="Arial" w:cs="Arial" w:eastAsia="Arial" w:hAnsi="Arial"/>
          <w:sz w:val="24"/>
          <w:szCs w:val="24"/>
        </w:rPr>
        <w:t xml:space="preserve"> социально-экономического развития Кыргызской Республики на 2015 год и 2016-2017 годы" от 14 августа 2014 года № 469.</w:t>
      </w:r>
    </w:p>
    <w:p>
      <w:pPr>
        <w:spacing w:after="60"/>
        <w:ind w:firstLine="567"/>
        <w:jc w:val="both"/>
      </w:pPr>
      <w:r>
        <w:rPr>
          <w:rFonts w:ascii="Arial" w:cs="Arial" w:eastAsia="Arial" w:hAnsi="Arial"/>
          <w:sz w:val="24"/>
          <w:szCs w:val="24"/>
        </w:rPr>
        <w:t xml:space="preserve">6. Настоящее постановление вступает в силу по истечении семи дней со дня официального опубликования.</w:t>
      </w:r>
    </w:p>
    <w:p>
      <w:pPr>
        <w:spacing w:after="60"/>
        <w:ind w:firstLine="567"/>
        <w:jc w:val="both"/>
      </w:pPr>
      <w:r>
        <w:rPr>
          <w:rFonts w:ascii="Arial" w:cs="Arial" w:eastAsia="Arial" w:hAnsi="Arial"/>
          <w:sz w:val="24"/>
          <w:szCs w:val="24"/>
        </w:rPr>
        <w:t xml:space="preserve">7. Контроль за исполнением настоящего постановления возложить на отдел экономики и инвестиций Аппарата Правительства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Т.Сариев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ПРОГНОЗ
 социально-экономического развития Кыргызской Республики на 2016 год и 2017-2018 годы</w:t>
      </w:r>
    </w:p>
    <w:p>
      <w:pPr>
        <w:spacing w:after="480" w:before="240"/>
        <w:jc w:val="center"/>
      </w:pPr>
      <w:r>
        <w:rPr>
          <w:rFonts w:ascii="Arial" w:cs="Arial" w:eastAsia="Arial" w:hAnsi="Arial"/>
          <w:i/>
          <w:iCs/>
          <w:sz w:val="24"/>
          <w:szCs w:val="24"/>
        </w:rPr>
        <w:t xml:space="preserve"> (В редакции постановления Правительства КР от </w:t>
      </w:r>
      <w:hyperlink w:history="1" r:id="rIdmkkj1_q4xlwhwm96iwjah">
        <w:r>
          <w:rPr>
            <w:rFonts w:ascii="Arial" w:cs="Arial" w:eastAsia="Arial" w:hAnsi="Arial"/>
            <w:i/>
            <w:iCs/>
            <w:color w:val="1D4ED8"/>
            <w:sz w:val="24"/>
            <w:szCs w:val="24"/>
            <w:u w:val="single"/>
          </w:rPr>
          <w:t xml:space="preserve">21 августа 2015 года № 597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I. Введение</w:t>
      </w:r>
    </w:p>
    <w:p>
      <w:pPr>
        <w:spacing w:after="60"/>
        <w:ind w:firstLine="567"/>
        <w:jc w:val="both"/>
      </w:pPr>
      <w:r>
        <w:rPr>
          <w:rFonts w:ascii="Arial" w:cs="Arial" w:eastAsia="Arial" w:hAnsi="Arial"/>
          <w:sz w:val="24"/>
          <w:szCs w:val="24"/>
        </w:rPr>
        <w:t xml:space="preserve">Основной целью Прогноза социально-экономического развития Кыргызской Республики на 2016 год и 2017-2018 годы является определение ориентиров и мер социально-экономической политики для государственных органов, органов местного самоуправления, хозяйствующих субъектов на среднесрочный период путем уточнения и конкретизации тенденций и предпосылок, выявления имеющихся ресурсов и возможных факторов риска для развития экономики страны.</w:t>
      </w:r>
    </w:p>
    <w:p>
      <w:pPr>
        <w:spacing w:after="60"/>
        <w:ind w:firstLine="567"/>
        <w:jc w:val="both"/>
      </w:pPr>
      <w:r>
        <w:rPr>
          <w:rFonts w:ascii="Arial" w:cs="Arial" w:eastAsia="Arial" w:hAnsi="Arial"/>
          <w:sz w:val="24"/>
          <w:szCs w:val="24"/>
        </w:rPr>
        <w:t xml:space="preserve">Прогноз рассчитан на основе анализа тенденций развития экономики по итогам 2014 года, экономической ситуации по предварительным итогам социально-экономического развития Кыргызской Республики за январь-июль 2015 года и оценки ожидаемых показателей социально-экономического развития страны в 2015 году. Определены основные направления развития ключевых секторов экономики на 2016 год, включая детализированное описание их прогнозных значений, и перспективы развития экономики страны в 2017-2018 годах, с учетом развития экономики в рамках интеграционного объединения Евразийского экономического союза (далее - ЕАЭС), построенные на базе официальных прогнозов отраслевых министерств, ведомств и текущих тенденций. Обозначены внешние, внутренние факторы и возможные риски.</w:t>
      </w:r>
    </w:p>
    <w:p>
      <w:pPr>
        <w:spacing w:after="60"/>
        <w:ind w:firstLine="567"/>
        <w:jc w:val="both"/>
      </w:pPr>
      <w:r>
        <w:rPr>
          <w:rFonts w:ascii="Arial" w:cs="Arial" w:eastAsia="Arial" w:hAnsi="Arial"/>
          <w:sz w:val="24"/>
          <w:szCs w:val="24"/>
        </w:rPr>
        <w:t xml:space="preserve">Настоящим Прогноз является основой для разработки проекта республиканского бюджета Кыргызской Республики на 2016 год и прогноза на 2017-2018 годы.</w:t>
      </w:r>
    </w:p>
    <w:p>
      <w:pPr>
        <w:spacing w:after="200" w:before="200"/>
        <w:jc w:val="center"/>
      </w:pPr>
      <w:r>
        <w:rPr>
          <w:rFonts w:ascii="Arial" w:cs="Arial" w:eastAsia="Arial" w:hAnsi="Arial"/>
          <w:b/>
          <w:bCs/>
          <w:sz w:val="32"/>
          <w:szCs w:val="32"/>
        </w:rPr>
        <w:t xml:space="preserve">II. Обзор макроэкономической ситуации за 2014 год и итогов социально-экономического развития Кыргызской Республики за январь-июль 2015 года</w:t>
      </w:r>
    </w:p>
    <w:p>
      <w:pPr>
        <w:spacing w:after="200" w:before="200"/>
        <w:jc w:val="center"/>
      </w:pPr>
      <w:r>
        <w:rPr>
          <w:rFonts w:ascii="Arial" w:cs="Arial" w:eastAsia="Arial" w:hAnsi="Arial"/>
          <w:b/>
          <w:bCs/>
          <w:sz w:val="32"/>
          <w:szCs w:val="32"/>
        </w:rPr>
        <w:t xml:space="preserve">1. Краткий обзор макроэкономической ситуации за 2014 год</w:t>
      </w:r>
    </w:p>
    <w:p>
      <w:pPr>
        <w:spacing w:after="60"/>
        <w:ind w:firstLine="567"/>
        <w:jc w:val="both"/>
      </w:pPr>
      <w:r>
        <w:rPr>
          <w:rFonts w:ascii="Arial" w:cs="Arial" w:eastAsia="Arial" w:hAnsi="Arial"/>
          <w:sz w:val="24"/>
          <w:szCs w:val="24"/>
        </w:rPr>
        <w:t xml:space="preserve">Социально-экономическое развитие Кыргызской Республики в 2014 году происходило в условиях негативного влияния глобального финансового кризиса, продолжающегося замедления темпов роста мировой экономики, геоэкономической ситуации в странах - основных торговых партнерах (введение экономических санкций против России, кризис на валютном рынке за счет укрепления курса доллара США по отношению к другим валютам и резкого снижения мировых цен на нефть). На фоне данных факторов в течение года наблюдались тенденции замедления экономического роста и повышения уровня инфляции в Кыргызской Республике.</w:t>
      </w:r>
    </w:p>
    <w:p>
      <w:pPr>
        <w:spacing w:after="60"/>
        <w:ind w:firstLine="567"/>
        <w:jc w:val="both"/>
      </w:pPr>
      <w:r>
        <w:rPr>
          <w:rFonts w:ascii="Arial" w:cs="Arial" w:eastAsia="Arial" w:hAnsi="Arial"/>
          <w:sz w:val="24"/>
          <w:szCs w:val="24"/>
        </w:rPr>
        <w:t xml:space="preserve">Основным результатом итогов 2014 года стали сохранение положительной динамики развития экономики, макроэкономическая и социальная стабильность в стране.</w:t>
      </w:r>
    </w:p>
    <w:p>
      <w:pPr>
        <w:spacing w:after="60"/>
        <w:ind w:firstLine="567"/>
        <w:jc w:val="both"/>
      </w:pPr>
      <w:r>
        <w:rPr>
          <w:rFonts w:ascii="Arial" w:cs="Arial" w:eastAsia="Arial" w:hAnsi="Arial"/>
          <w:sz w:val="24"/>
          <w:szCs w:val="24"/>
        </w:rPr>
        <w:t xml:space="preserve">По данным Национального статистического комитета Кыргызской Республики (далее - НСК), экономический рост в стране в 2014 году составил 103,6%, против реального роста 110,9% в 2013 году. Объем валового внутреннего продукта (далее - ВВП) сложился в сумме 397,3 млрд. сомов. Дефлятор ВВП сложился на уровне 107,9%. Без учета предприятий по разработке месторождения Кумтор прирост реального ВВП составил 4,6%, за 2013 год аналогичный показатель составлял 6,1%.</w:t>
      </w:r>
    </w:p>
    <w:p>
      <w:pPr>
        <w:spacing w:after="60"/>
        <w:ind w:firstLine="567"/>
        <w:jc w:val="both"/>
      </w:pPr>
      <w:r>
        <w:rPr>
          <w:rFonts w:ascii="Arial" w:cs="Arial" w:eastAsia="Arial" w:hAnsi="Arial"/>
          <w:sz w:val="24"/>
          <w:szCs w:val="24"/>
        </w:rPr>
        <w:t xml:space="preserve">В расчете на душу населения объем ВВП составил 71,2 тыс. сомов и по сравнению с 2013 годом возрос на 1,5%.</w:t>
      </w:r>
    </w:p>
    <w:p>
      <w:pPr>
        <w:spacing w:after="120" w:before="120"/>
        <w:ind w:firstLine="567"/>
        <w:jc w:val="right"/>
      </w:pPr>
      <w:r>
        <w:rPr>
          <w:rFonts w:ascii="Arial" w:cs="Arial" w:eastAsia="Arial" w:hAnsi="Arial"/>
          <w:sz w:val="24"/>
          <w:szCs w:val="24"/>
        </w:rPr>
        <w:t xml:space="preserve">Таблица 1</w:t>
      </w:r>
    </w:p>
    <w:p>
      <w:pPr>
        <w:spacing w:after="200" w:before="200"/>
        <w:jc w:val="center"/>
      </w:pPr>
      <w:r>
        <w:rPr>
          <w:rFonts w:ascii="Arial" w:cs="Arial" w:eastAsia="Arial" w:hAnsi="Arial"/>
          <w:b/>
          <w:bCs/>
          <w:sz w:val="32"/>
          <w:szCs w:val="32"/>
        </w:rPr>
        <w:t xml:space="preserve">Структура и темпы роста по секторам, формирующим ВВП(1)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87"/>
        <w:gridCol w:w="827"/>
        <w:gridCol w:w="827"/>
        <w:gridCol w:w="827"/>
        <w:gridCol w:w="838"/>
        <w:gridCol w:w="838"/>
        <w:gridCol w:w="838"/>
        <w:gridCol w:w="838"/>
        <w:gridCol w:w="900"/>
        <w:gridCol w:w="900"/>
        <w:gridCol w:w="759"/>
      </w:tblGrid>
      <w:tr>
        <w:tc>
          <w:tcPr>
            <w:tcW w:type="dxa" w:w="178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48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 год, факт</w:t>
            </w:r>
          </w:p>
        </w:tc>
        <w:tc>
          <w:tcPr>
            <w:tcW w:type="dxa" w:w="335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год, предв. факт</w:t>
            </w:r>
          </w:p>
        </w:tc>
        <w:tc>
          <w:tcPr>
            <w:tcW w:type="dxa" w:w="180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год
 (ожид. пост. от 14.08.2014 г. № 469)</w:t>
            </w:r>
          </w:p>
        </w:tc>
        <w:tc>
          <w:tcPr>
            <w:tcW w:type="dxa" w:w="75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 темпа роста от ожид. (+/-) п.п.</w:t>
            </w:r>
          </w:p>
        </w:tc>
      </w:tr>
      <w:tr>
        <w:tc>
          <w:tcPr>
            <w:vMerge w:val="continue"/>
            <w:tcBorders>
              <w:top w:val="single" w:color="CBBF9E" w:sz="4"/>
              <w:left w:val="single" w:color="CBBF9E" w:sz="4"/>
              <w:bottom w:val="single" w:color="CBBF9E" w:sz="4"/>
              <w:right w:val="single" w:color="CBBF9E" w:sz="4"/>
            </w:tcBorders>
          </w:tcP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vMerge w:val="continue"/>
            <w:tcBorders>
              <w:top w:val="single" w:color="CBBF9E" w:sz="4"/>
              <w:left w:val="none" w:color="auto" w:sz="0"/>
              <w:bottom w:val="single" w:color="CBBF9E" w:sz="4"/>
              <w:right w:val="single" w:color="CBBF9E" w:sz="4"/>
            </w:tcBorders>
          </w:tcP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355294,8</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397277,1</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388813,7</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52007,6</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14,64</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58888,7</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58065,1</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65801,5</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135,9</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18,53</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61741,3</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58504,0</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22466,5</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116,4</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6,32</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29461,1</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124,9</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30004,9</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117,5</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165603,7</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46,61</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191139,3</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186391,7</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 и импорт</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49415,5</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13,91</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56046,7</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55848,0</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r>
    </w:tbl>
    <w:p>
      <w:pPr>
        <w:spacing w:after="60" w:before="120"/>
        <w:ind w:firstLine="567"/>
        <w:jc w:val="both"/>
      </w:pPr>
      <w:r>
        <w:rPr>
          <w:rFonts w:ascii="Arial" w:cs="Arial" w:eastAsia="Arial" w:hAnsi="Arial"/>
          <w:sz w:val="24"/>
          <w:szCs w:val="24"/>
        </w:rPr>
        <w:t xml:space="preserve">Экономический рост обеспечен за счет положительного вклада строительства на уровне 1,57 и сферы услуг - 1,94 процентных пункта. Отрицательный вклад в формирование ВВП внесло сокращение производства в сельском хозяйстве на уровне 0,09 и промышленности - на </w:t>
      </w:r>
      <w:r>
        <w:rPr>
          <w:rFonts w:ascii="Arial" w:cs="Arial" w:eastAsia="Arial" w:hAnsi="Arial"/>
          <w:sz w:val="24"/>
          <w:szCs w:val="24"/>
        </w:rPr>
        <w:t xml:space="preserve">уровне 0,31 процентных пункта, где основными факторами явились неблагоприятные природно-климатические условия для развития сельского хозяйства (позднее наступление весны, засуха, отсутствие полива, пик наступления маловодья) и заметное снижение объема промышленного производства за счет снижения производства золота.</w:t>
      </w:r>
    </w:p>
    <w:p>
      <w:pPr>
        <w:spacing w:after="60"/>
        <w:ind w:firstLine="567"/>
        <w:jc w:val="both"/>
      </w:pPr>
      <w:r>
        <w:rPr>
          <w:rFonts w:ascii="Arial" w:cs="Arial" w:eastAsia="Arial" w:hAnsi="Arial"/>
          <w:sz w:val="24"/>
          <w:szCs w:val="24"/>
        </w:rPr>
        <w:t xml:space="preserve">Основными факторами, которые оказывали как положительный, так и отрицательный эффект на основные макроэкономические показатели, стали:</w:t>
      </w:r>
    </w:p>
    <w:p>
      <w:pPr>
        <w:spacing w:after="60"/>
        <w:ind w:firstLine="567"/>
        <w:jc w:val="both"/>
      </w:pPr>
      <w:r>
        <w:rPr>
          <w:rFonts w:ascii="Arial" w:cs="Arial" w:eastAsia="Arial" w:hAnsi="Arial"/>
          <w:sz w:val="24"/>
          <w:szCs w:val="24"/>
        </w:rPr>
        <w:t xml:space="preserve">- геоэкономическая ситуация в странах - основных торговых партнерах (введение экономических санкций, отток капитала и т.д.);</w:t>
      </w:r>
    </w:p>
    <w:p>
      <w:pPr>
        <w:spacing w:after="60"/>
        <w:ind w:firstLine="567"/>
        <w:jc w:val="both"/>
      </w:pPr>
      <w:r>
        <w:rPr>
          <w:rFonts w:ascii="Arial" w:cs="Arial" w:eastAsia="Arial" w:hAnsi="Arial"/>
          <w:sz w:val="24"/>
          <w:szCs w:val="24"/>
        </w:rPr>
        <w:t xml:space="preserve">- неблагоприятные природно-климатические условия для развития сельского хозяйства и энергетики (позднее наступление весны, засуха, отсутствие полива, пик наступления маловодья);</w:t>
      </w:r>
    </w:p>
    <w:p>
      <w:pPr>
        <w:spacing w:after="60"/>
        <w:ind w:firstLine="567"/>
        <w:jc w:val="both"/>
      </w:pPr>
      <w:r>
        <w:rPr>
          <w:rFonts w:ascii="Arial" w:cs="Arial" w:eastAsia="Arial" w:hAnsi="Arial"/>
          <w:sz w:val="24"/>
          <w:szCs w:val="24"/>
        </w:rPr>
        <w:t xml:space="preserve">- замедление темпов роста среднемесячной заработной платы на 1,2%;</w:t>
      </w:r>
    </w:p>
    <w:p>
      <w:pPr>
        <w:spacing w:after="60"/>
        <w:ind w:firstLine="567"/>
        <w:jc w:val="both"/>
      </w:pPr>
      <w:r>
        <w:rPr>
          <w:rFonts w:ascii="Arial" w:cs="Arial" w:eastAsia="Arial" w:hAnsi="Arial"/>
          <w:sz w:val="24"/>
          <w:szCs w:val="24"/>
        </w:rPr>
        <w:t xml:space="preserve">- снижение объема чистого притока денежных переводов физических лиц на 5,1%, которые в 2014 году составили 1811,9 млн. долл. США (в 2013 году сумма составила 1908,2 млн. долл. США);</w:t>
      </w:r>
    </w:p>
    <w:p>
      <w:pPr>
        <w:spacing w:after="60"/>
        <w:ind w:firstLine="567"/>
        <w:jc w:val="both"/>
      </w:pPr>
      <w:r>
        <w:rPr>
          <w:rFonts w:ascii="Arial" w:cs="Arial" w:eastAsia="Arial" w:hAnsi="Arial"/>
          <w:sz w:val="24"/>
          <w:szCs w:val="24"/>
        </w:rPr>
        <w:t xml:space="preserve">- предоставление льготных кредитов фермерам (шестью банками выдано кредитов на общую сумму 5,3 млрд. сомов), приобретение в лизинг сельхозтехники и выделение ГСМ за счет матрезерва;</w:t>
      </w:r>
    </w:p>
    <w:p>
      <w:pPr>
        <w:spacing w:after="60"/>
        <w:ind w:firstLine="567"/>
        <w:jc w:val="both"/>
      </w:pPr>
      <w:r>
        <w:rPr>
          <w:rFonts w:ascii="Arial" w:cs="Arial" w:eastAsia="Arial" w:hAnsi="Arial"/>
          <w:sz w:val="24"/>
          <w:szCs w:val="24"/>
        </w:rPr>
        <w:t xml:space="preserve">- создание благоприятных условий для ведения бизнеса через сокращение проверок, количества лицензий и других мер государственного регулирования;</w:t>
      </w:r>
    </w:p>
    <w:p>
      <w:pPr>
        <w:spacing w:after="60"/>
        <w:ind w:firstLine="567"/>
        <w:jc w:val="both"/>
      </w:pPr>
      <w:r>
        <w:rPr>
          <w:rFonts w:ascii="Arial" w:cs="Arial" w:eastAsia="Arial" w:hAnsi="Arial"/>
          <w:sz w:val="24"/>
          <w:szCs w:val="24"/>
        </w:rPr>
        <w:t xml:space="preserve">- рост потребительского кредитования на 36,7% по сравнению с 2013 годом;</w:t>
      </w:r>
    </w:p>
    <w:p>
      <w:pPr>
        <w:spacing w:after="60"/>
        <w:ind w:firstLine="567"/>
        <w:jc w:val="both"/>
      </w:pPr>
      <w:r>
        <w:rPr>
          <w:rFonts w:ascii="Arial" w:cs="Arial" w:eastAsia="Arial" w:hAnsi="Arial"/>
          <w:sz w:val="24"/>
          <w:szCs w:val="24"/>
        </w:rPr>
        <w:t xml:space="preserve">- рост кредитования в экономику на 43,6% по сравнению с 2013 годом.</w:t>
      </w:r>
    </w:p>
    <w:p>
      <w:pPr>
        <w:spacing w:after="60"/>
        <w:ind w:firstLine="567"/>
        <w:jc w:val="both"/>
      </w:pPr>
      <w:r>
        <w:rPr>
          <w:rFonts w:ascii="Arial" w:cs="Arial" w:eastAsia="Arial" w:hAnsi="Arial"/>
          <w:sz w:val="24"/>
          <w:szCs w:val="24"/>
        </w:rPr>
        <w:t xml:space="preserve">Рост отраслей экономики сопровождался улучшением социальных показателей страны. За 2014 год выросли доходы населения и отмечено улучшение ситуации на рынке труда. Было создано 110252 рабочих места. Правительством Кыргызской Республики (далее - Правительство) проводились мероприятия по трудоустройству безработных граждан как внутри государства, так и за его пределами. При содействии государственных служб занятости в 2014 году было трудоустроено 48,1 тыс. человек; это на 21,0% больше, чем в 2013 году (39,7 тыс. человек).</w:t>
      </w:r>
    </w:p>
    <w:p>
      <w:pPr>
        <w:spacing w:after="60"/>
        <w:ind w:firstLine="567"/>
        <w:jc w:val="both"/>
      </w:pPr>
      <w:r>
        <w:rPr>
          <w:rFonts w:ascii="Arial" w:cs="Arial" w:eastAsia="Arial" w:hAnsi="Arial"/>
          <w:sz w:val="24"/>
          <w:szCs w:val="24"/>
        </w:rPr>
        <w:t xml:space="preserve">Среднемесячная номинальная заработная плата одного работника (без учета малых предприятий) в 2014 году составила 12285,0 сомов и по сравнению с 2013 годом увеличилась на 8,3%, а ее реальный размер, исчисленный с учетом индекса потребительских цен, возрос на 0,7% (в 2013 году составляла 11341,0 сомов и по сравнению с 2012 годом увеличилась на 5,7%).</w:t>
      </w:r>
    </w:p>
    <w:p>
      <w:pPr>
        <w:spacing w:after="60"/>
        <w:ind w:firstLine="567"/>
        <w:jc w:val="both"/>
      </w:pPr>
      <w:r>
        <w:rPr>
          <w:rFonts w:ascii="Arial" w:cs="Arial" w:eastAsia="Arial" w:hAnsi="Arial"/>
          <w:sz w:val="24"/>
          <w:szCs w:val="24"/>
        </w:rPr>
        <w:t xml:space="preserve">Величина прожиточного минимума в 2014 году составляла 4981,5 сома и по сравнению с 2013 годом возросла на 8,3%. Средний размер заработной платы почти в 2,5 раза покрывает величину прожиточного минимума. За последние 4 года средний размер пенсии увеличился на 21,3%, с 3760,0 до 4562,0 сомов, а по отношению к прожиточному минимуму пенсионера - с 95,6% до 102,9%.</w:t>
      </w:r>
    </w:p>
    <w:p>
      <w:pPr>
        <w:spacing w:after="60"/>
        <w:ind w:firstLine="567"/>
        <w:jc w:val="both"/>
      </w:pPr>
      <w:r>
        <w:rPr>
          <w:rFonts w:ascii="Arial" w:cs="Arial" w:eastAsia="Arial" w:hAnsi="Arial"/>
          <w:sz w:val="24"/>
          <w:szCs w:val="24"/>
        </w:rPr>
        <w:t xml:space="preserve">В 2014 году удельный вес расходов из государственного бюджета на социальную сферу (53363,4 млн. сомов) составил 57,8%, всего было направлено на 11449,2 млн. сомов больше, чем в 2013 году.</w:t>
      </w:r>
    </w:p>
    <w:p>
      <w:pPr>
        <w:spacing w:after="60"/>
        <w:ind w:firstLine="567"/>
        <w:jc w:val="both"/>
      </w:pPr>
      <w:r>
        <w:rPr>
          <w:rFonts w:ascii="Arial" w:cs="Arial" w:eastAsia="Arial" w:hAnsi="Arial"/>
          <w:sz w:val="24"/>
          <w:szCs w:val="24"/>
        </w:rPr>
        <w:t xml:space="preserve">Объем доходов государственного бюджета за 2014 год составил 119376,3 млн. сомов, или 101,6% к 2013 году, доля к ВВП - 28,2%. Социальные обязательства в рамках утвержденных параметров выполнены.</w:t>
      </w:r>
    </w:p>
    <w:p>
      <w:pPr>
        <w:spacing w:after="60"/>
        <w:ind w:firstLine="567"/>
        <w:jc w:val="both"/>
      </w:pPr>
      <w:r>
        <w:rPr>
          <w:rFonts w:ascii="Arial" w:cs="Arial" w:eastAsia="Arial" w:hAnsi="Arial"/>
          <w:sz w:val="24"/>
          <w:szCs w:val="24"/>
        </w:rPr>
        <w:t xml:space="preserve">Дефицит бюджета за 2014 год составил 0,5% к ВВП, против 0,7% - в 2013 году. Государственный внешний долг в конце 2014 года составил 50,9% ВВП.</w:t>
      </w:r>
    </w:p>
    <w:p>
      <w:pPr>
        <w:spacing w:after="60"/>
        <w:ind w:firstLine="567"/>
        <w:jc w:val="both"/>
      </w:pPr>
      <w:r>
        <w:rPr>
          <w:rFonts w:ascii="Arial" w:cs="Arial" w:eastAsia="Arial" w:hAnsi="Arial"/>
          <w:sz w:val="24"/>
          <w:szCs w:val="24"/>
        </w:rPr>
        <w:t xml:space="preserve">Инфляция в 2014 году изменялась в диапазоне от 3,6% до 10,5%, а ее среднегодовое значение составило 7,5%.</w:t>
      </w:r>
    </w:p>
    <w:p>
      <w:pPr>
        <w:spacing w:after="120" w:before="120"/>
        <w:ind w:firstLine="567"/>
        <w:jc w:val="right"/>
      </w:pPr>
      <w:r>
        <w:rPr>
          <w:rFonts w:ascii="Arial" w:cs="Arial" w:eastAsia="Arial" w:hAnsi="Arial"/>
          <w:sz w:val="24"/>
          <w:szCs w:val="24"/>
        </w:rPr>
        <w:t xml:space="preserve">Таблица 2</w:t>
      </w:r>
    </w:p>
    <w:p>
      <w:pPr>
        <w:spacing w:after="200" w:before="200"/>
        <w:jc w:val="center"/>
      </w:pPr>
      <w:r>
        <w:rPr>
          <w:rFonts w:ascii="Arial" w:cs="Arial" w:eastAsia="Arial" w:hAnsi="Arial"/>
          <w:b/>
          <w:bCs/>
          <w:sz w:val="32"/>
          <w:szCs w:val="32"/>
        </w:rPr>
        <w:t xml:space="preserve">Показатели индекса потребительских цен (ИПЦ)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6"/>
        <w:gridCol w:w="7540"/>
        <w:gridCol w:w="1081"/>
        <w:gridCol w:w="1081"/>
      </w:tblGrid>
      <w:tr>
        <w:tc>
          <w:tcPr>
            <w:tcW w:type="dxa" w:w="4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5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Индекс потребительских цен (ИПЦ)</w:t>
            </w:r>
          </w:p>
        </w:tc>
        <w:tc>
          <w:tcPr>
            <w:tcW w:type="dxa" w:w="10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 год</w:t>
            </w:r>
          </w:p>
        </w:tc>
        <w:tc>
          <w:tcPr>
            <w:tcW w:type="dxa" w:w="10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год</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5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декабрю предыдущего года</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5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соответствующему периоду предыдущего года (среднегодовое значение)</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r>
    </w:tbl>
    <w:p>
      <w:pPr>
        <w:spacing w:after="60" w:before="120"/>
        <w:ind w:firstLine="567"/>
        <w:jc w:val="both"/>
      </w:pPr>
      <w:r>
        <w:rPr>
          <w:rFonts w:ascii="Arial" w:cs="Arial" w:eastAsia="Arial" w:hAnsi="Arial"/>
          <w:sz w:val="24"/>
          <w:szCs w:val="24"/>
        </w:rPr>
        <w:t xml:space="preserve">Отмечалась позитивная динамика развития банковского сектора, что сопровождалось увеличением суммарных активов банковской системы, которые с начала 2014 года выросли на 23,9% и составили 137,6 млрд. сомов. Общая депозитная база банковского сектора (без учета депозитов, предоставленных банкам и другим финансово-кредитным учреждениям) составила 77,9 млрд. сомов, увеличившись с начала года на 22,1%, в том числе депозиты физических лиц составили 34,6 млрд. сомов, прирост с начала года - на 23,7%.</w:t>
      </w:r>
    </w:p>
    <w:p>
      <w:pPr>
        <w:spacing w:after="60"/>
        <w:ind w:firstLine="567"/>
        <w:jc w:val="both"/>
      </w:pPr>
      <w:r>
        <w:rPr>
          <w:rFonts w:ascii="Arial" w:cs="Arial" w:eastAsia="Arial" w:hAnsi="Arial"/>
          <w:sz w:val="24"/>
          <w:szCs w:val="24"/>
        </w:rPr>
        <w:t xml:space="preserve">Объем кредитного портфеля (без учета кредитов, предоставленных банкам и другим финансово-кредитным учреждениям) банковского сектора по состоянию на 31 декабря 2014 года составил 78,6 млрд. сомов, увеличившись с начала года на 45,9%.</w:t>
      </w:r>
    </w:p>
    <w:p>
      <w:pPr>
        <w:spacing w:after="60"/>
        <w:ind w:firstLine="567"/>
        <w:jc w:val="both"/>
      </w:pPr>
      <w:r>
        <w:rPr>
          <w:rFonts w:ascii="Arial" w:cs="Arial" w:eastAsia="Arial" w:hAnsi="Arial"/>
          <w:sz w:val="24"/>
          <w:szCs w:val="24"/>
        </w:rPr>
        <w:t xml:space="preserve">Сумма кредита в экономику(2) в 2014 году составила 82,1 млрд. сомов, увеличившись с начала 2014 года на 43,6% (в 2013 году - 36,1%).</w:t>
      </w:r>
    </w:p>
    <w:p>
      <w:pPr>
        <w:spacing w:after="60"/>
        <w:ind w:firstLine="567"/>
        <w:jc w:val="both"/>
      </w:pPr>
      <w:r>
        <w:rPr>
          <w:rFonts w:ascii="Arial" w:cs="Arial" w:eastAsia="Arial" w:hAnsi="Arial"/>
          <w:sz w:val="24"/>
          <w:szCs w:val="24"/>
        </w:rPr>
        <w:t xml:space="preserve">В целях стимулирования сельскохозяйственного производства реализован проект "Финансирование сельского хозяйства-2" (постановление Правительства от 31 января 2014 года № 61), в рамках которого шестью банками республики фермерам выделено 15525 льготных кредитов на общую сумму 5300 млн. сомов.</w:t>
      </w:r>
    </w:p>
    <w:p>
      <w:pPr>
        <w:spacing w:after="60"/>
        <w:ind w:firstLine="567"/>
        <w:jc w:val="both"/>
      </w:pPr>
      <w:r>
        <w:rPr>
          <w:rFonts w:ascii="Arial" w:cs="Arial" w:eastAsia="Arial" w:hAnsi="Arial"/>
          <w:sz w:val="24"/>
          <w:szCs w:val="24"/>
        </w:rPr>
        <w:t xml:space="preserve">Уровень капитализации экономики возрос с 23,3% в 2013 году до 26,6% - в 2014 году, в основном за счет увеличения объемов иностранных кредитов (в 2,5 раза), средств населения (на 15,2%), средств предприятий и организаций (на 15,0%). В 2014 году реализовано 15 проектов, из них 7 проектов - в агропромышленном комплексе, 4 проекта - в энергетическом секторе, 4 проекта - в сфере транспорта и коммуникаций.</w:t>
      </w:r>
    </w:p>
    <w:p>
      <w:pPr>
        <w:spacing w:after="60"/>
        <w:ind w:firstLine="567"/>
        <w:jc w:val="both"/>
      </w:pPr>
      <w:r>
        <w:rPr>
          <w:rFonts w:ascii="Arial" w:cs="Arial" w:eastAsia="Arial" w:hAnsi="Arial"/>
          <w:sz w:val="24"/>
          <w:szCs w:val="24"/>
        </w:rPr>
        <w:t xml:space="preserve">В 2014 году уровень потребления населения снизился на 0,4 процентных пункта, до 115,2% к ВВП (в 2013 году - 115,6% к ВВП). Доля частного потребления составила 97,8%, что обусловлено снижением темпов роста среднемесячной номинальной заработной платы, ростом расходов на социальную поддержку населения, снижением чистого притока денежных переводов физических лиц, осуществляемых через системы переводов (в 2014 году составил 1811,9 млн. долл. США), а также ростом рынка потребительского кредитования (на 36,7% по сравнению с 2013 годом). Удельный вес государственного потребления в структуре использования ВВП снизился с 18,4% в 2013 году до 17,2% - в 2014 году.</w:t>
      </w:r>
    </w:p>
    <w:p>
      <w:pPr>
        <w:spacing w:after="60"/>
        <w:ind w:firstLine="567"/>
        <w:jc w:val="both"/>
      </w:pPr>
      <w:r>
        <w:rPr>
          <w:rFonts w:ascii="Arial" w:cs="Arial" w:eastAsia="Arial" w:hAnsi="Arial"/>
          <w:sz w:val="24"/>
          <w:szCs w:val="24"/>
        </w:rPr>
        <w:t xml:space="preserve">В 2014 году объем внешнеторгового оборота составил 7612,3 млн. долл. США и по сравнению с 2013 годом сократился на 4,8%. Дефицит торгового баланса в 2014 году составил 3852,5 млн. долл. США и сократился по сравнению с 2013 годом на 3,2%. В результате опережающего темпа роста импорта над экспортом отрицательное сальдо чистого экспорта товаров и услуг к ВВП остается высоким, которое в 2014 году составило (оценка) (-)49,9% (в 2013 году (-)49,5%).</w:t>
      </w:r>
    </w:p>
    <w:p>
      <w:pPr>
        <w:spacing w:after="60"/>
        <w:ind w:firstLine="567"/>
        <w:jc w:val="both"/>
      </w:pPr>
      <w:r>
        <w:rPr>
          <w:rFonts w:ascii="Arial" w:cs="Arial" w:eastAsia="Arial" w:hAnsi="Arial"/>
          <w:sz w:val="24"/>
          <w:szCs w:val="24"/>
        </w:rPr>
        <w:t xml:space="preserve">В целях обеспечения финансирования мероприятий по охране природы, восстановлению потерь в природной среде, сохранению биоразнообразия и лесных экосистем, развития лесной отрасли и особо охраняемых природных территорий из средств фондов охраны природы и развития лесной отрасли в 2014 году выделено 202,75 млн. сомов. Рост объема финансирования природоохранной деятельности по сравнению с 2013 годом составляет 133,6%.</w:t>
      </w:r>
    </w:p>
    <w:p>
      <w:pPr>
        <w:spacing w:after="60"/>
        <w:ind w:firstLine="567"/>
        <w:jc w:val="both"/>
      </w:pPr>
      <w:r>
        <w:rPr>
          <w:rFonts w:ascii="Arial" w:cs="Arial" w:eastAsia="Arial" w:hAnsi="Arial"/>
          <w:sz w:val="24"/>
          <w:szCs w:val="24"/>
        </w:rPr>
        <w:t xml:space="preserve">Активно реализовывался План мероприятий ("дорожная карта") по присоединению Кыргызской Республики к Единому экономическому пространству Республики Беларусь, Республики Казахстан и Российской Федерации, с учетом формирования ЕАЭС, утвержденный Решением Высшего Евразийского экономического совета от 10 октября 2014 года № 75. Проведена масштабная работа по приведению национального законодательства в соответствие с нормативной базой ЕАЭС, в рамках которой внесены изменения и дополнения в 112 нормативных правовых актов (38 законов, 74 иных нормативных правовых акта).</w:t>
      </w:r>
    </w:p>
    <w:p>
      <w:pPr>
        <w:spacing w:after="60"/>
        <w:ind w:firstLine="567"/>
        <w:jc w:val="both"/>
      </w:pPr>
      <w:r>
        <w:rPr>
          <w:rFonts w:ascii="Arial" w:cs="Arial" w:eastAsia="Arial" w:hAnsi="Arial"/>
          <w:sz w:val="24"/>
          <w:szCs w:val="24"/>
        </w:rPr>
        <w:t xml:space="preserve">Главным событием 2014 года стало подписание 23 декабря 2014 года Договора о присоединении Кыргызской Республики к Договору о Евразийском экономическом союзе от 29 мая 2014 года. 1 января 2015 года на постсоветском пространстве начало работать крупнейшее интеграционное объединение - ЕАЭС, которое будет обеспечивать свободу движения товаров, услуг, капиталов и трудовых ресурсов между странами-членами ЕАЭС.</w:t>
      </w:r>
    </w:p>
    <w:p>
      <w:pPr>
        <w:spacing w:after="60"/>
        <w:ind w:firstLine="567"/>
        <w:jc w:val="both"/>
      </w:pPr>
      <w:r>
        <w:rPr>
          <w:rFonts w:ascii="Arial" w:cs="Arial" w:eastAsia="Arial" w:hAnsi="Arial"/>
          <w:sz w:val="24"/>
          <w:szCs w:val="24"/>
        </w:rPr>
        <w:t xml:space="preserve">Проводимая в 2014 году согласованная экономическая политика, несмотря на негативное влияние ситуации, продолжающееся замедление темпов роста мировой экономики, в том числе в странах - основных торговых партнерах (Российская Федерация, Республика Казахстан), позволила сохранить наметившуюся положительную динамику развития экономики, макроэкономическую и социальную стабильность в стране.</w:t>
      </w:r>
    </w:p>
    <w:p>
      <w:pPr>
        <w:spacing w:after="200" w:before="200"/>
        <w:jc w:val="center"/>
      </w:pPr>
      <w:r>
        <w:rPr>
          <w:rFonts w:ascii="Arial" w:cs="Arial" w:eastAsia="Arial" w:hAnsi="Arial"/>
          <w:b/>
          <w:bCs/>
          <w:sz w:val="32"/>
          <w:szCs w:val="32"/>
        </w:rPr>
        <w:t xml:space="preserve">2. Предварительные итоги социально-экономического развития Кыргызской Республики за январь-июль 2015 года</w:t>
      </w:r>
    </w:p>
    <w:p>
      <w:pPr>
        <w:spacing w:after="60"/>
        <w:ind w:firstLine="567"/>
        <w:jc w:val="both"/>
      </w:pPr>
      <w:r>
        <w:rPr>
          <w:rFonts w:ascii="Arial" w:cs="Arial" w:eastAsia="Arial" w:hAnsi="Arial"/>
          <w:sz w:val="24"/>
          <w:szCs w:val="24"/>
        </w:rPr>
        <w:t xml:space="preserve">Основным результатом итогов за январь-июль 2015 года стало сохранение положительной тенденции экономического роста.</w:t>
      </w:r>
    </w:p>
    <w:p>
      <w:pPr>
        <w:spacing w:after="60"/>
        <w:ind w:firstLine="567"/>
        <w:jc w:val="both"/>
      </w:pPr>
      <w:r>
        <w:rPr>
          <w:rFonts w:ascii="Arial" w:cs="Arial" w:eastAsia="Arial" w:hAnsi="Arial"/>
          <w:sz w:val="24"/>
          <w:szCs w:val="24"/>
        </w:rPr>
        <w:t xml:space="preserve">По предварительной оценке НСК, экономический рост в стране по итогам за январь-июль 2015 года составил 107,1%, объем ВВП сложился в сумме 210,9 млрд. сомов. Дефлятор ВВП сложился на уровне 105,0%.</w:t>
      </w:r>
    </w:p>
    <w:p>
      <w:pPr>
        <w:spacing w:after="60"/>
        <w:ind w:firstLine="567"/>
        <w:jc w:val="both"/>
      </w:pPr>
      <w:r>
        <w:rPr>
          <w:rFonts w:ascii="Arial" w:cs="Arial" w:eastAsia="Arial" w:hAnsi="Arial"/>
          <w:sz w:val="24"/>
          <w:szCs w:val="24"/>
        </w:rPr>
        <w:t xml:space="preserve">Без учета предприятий по разработке месторождения Кумтор рост реального ВВП составил 104,5%, за соответствующий период 2014 года аналогичный показатель составлял 103,3%.</w:t>
      </w:r>
    </w:p>
    <w:p>
      <w:pPr>
        <w:spacing w:after="60"/>
        <w:ind w:firstLine="567"/>
        <w:jc w:val="both"/>
      </w:pPr>
      <w:r>
        <w:rPr>
          <w:rFonts w:ascii="Arial" w:cs="Arial" w:eastAsia="Arial" w:hAnsi="Arial"/>
          <w:sz w:val="24"/>
          <w:szCs w:val="24"/>
        </w:rPr>
        <w:t xml:space="preserve">Экономический рост обеспечен всеми секторами экономики, положительный вклад которых оценивается: в сельском хозяйстве на уровне 0,57 процентного пункта, промышленности - 3,48 п.п., строительстве - 0,63 п.п. и сфере услуг - 1,34 п.п.</w:t>
      </w:r>
    </w:p>
    <w:p>
      <w:pPr>
        <w:spacing w:after="120" w:before="120"/>
        <w:ind w:firstLine="567"/>
        <w:jc w:val="right"/>
      </w:pPr>
      <w:r>
        <w:rPr>
          <w:rFonts w:ascii="Arial" w:cs="Arial" w:eastAsia="Arial" w:hAnsi="Arial"/>
          <w:sz w:val="24"/>
          <w:szCs w:val="24"/>
        </w:rPr>
        <w:t xml:space="preserve">Таблица 3</w:t>
      </w:r>
    </w:p>
    <w:p>
      <w:pPr>
        <w:spacing w:after="200" w:before="200"/>
        <w:jc w:val="center"/>
      </w:pPr>
      <w:r>
        <w:rPr>
          <w:rFonts w:ascii="Arial" w:cs="Arial" w:eastAsia="Arial" w:hAnsi="Arial"/>
          <w:b/>
          <w:bCs/>
          <w:sz w:val="32"/>
          <w:szCs w:val="32"/>
        </w:rPr>
        <w:t xml:space="preserve">Структура и темпы роста по секторам, формирующим ВВП(3)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03"/>
        <w:gridCol w:w="1068"/>
        <w:gridCol w:w="1068"/>
        <w:gridCol w:w="1068"/>
        <w:gridCol w:w="1193"/>
        <w:gridCol w:w="1193"/>
        <w:gridCol w:w="1193"/>
        <w:gridCol w:w="1193"/>
      </w:tblGrid>
      <w:tr>
        <w:tc>
          <w:tcPr>
            <w:tcW w:type="dxa" w:w="22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320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Январь-июль 2014 года</w:t>
            </w:r>
          </w:p>
        </w:tc>
        <w:tc>
          <w:tcPr>
            <w:tcW w:type="dxa" w:w="477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Январь-июль 2015 года</w:t>
            </w:r>
          </w:p>
        </w:tc>
      </w:tr>
      <w:tr>
        <w:tc>
          <w:tcPr>
            <w:vMerge w:val="continue"/>
            <w:tcBorders>
              <w:top w:val="single" w:color="CBBF9E" w:sz="4"/>
              <w:left w:val="single" w:color="CBBF9E" w:sz="4"/>
              <w:bottom w:val="single" w:color="CBBF9E" w:sz="4"/>
              <w:right w:val="single" w:color="CBBF9E" w:sz="4"/>
            </w:tcBorders>
          </w:tcP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
 (млн. сомов)</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
 (млн. сомов)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r>
      <w:tr>
        <w:tc>
          <w:tcPr>
            <w:tcW w:type="dxa" w:w="2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187650,0</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210917,3</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r>
      <w:tr>
        <w:tc>
          <w:tcPr>
            <w:tcW w:type="dxa" w:w="2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27516,5</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36850,0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123,7</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w:t>
            </w:r>
          </w:p>
        </w:tc>
      </w:tr>
      <w:tr>
        <w:tc>
          <w:tcPr>
            <w:tcW w:type="dxa" w:w="2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23914,8</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25232,3</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w:t>
            </w:r>
          </w:p>
        </w:tc>
      </w:tr>
      <w:tr>
        <w:tc>
          <w:tcPr>
            <w:tcW w:type="dxa" w:w="2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11587,9</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121,3</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13335,5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0,63</w:t>
            </w:r>
          </w:p>
        </w:tc>
      </w:tr>
      <w:tr>
        <w:tc>
          <w:tcPr>
            <w:tcW w:type="dxa" w:w="2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96800,8</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51,6</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106943,1</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50,7</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r>
      <w:tr>
        <w:tc>
          <w:tcPr>
            <w:tcW w:type="dxa" w:w="2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27830,0</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28556,4</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r>
    </w:tbl>
    <w:p>
      <w:pPr>
        <w:spacing w:after="60" w:before="120"/>
        <w:ind w:firstLine="567"/>
        <w:jc w:val="both"/>
      </w:pPr>
      <w:r>
        <w:rPr>
          <w:rFonts w:ascii="Arial" w:cs="Arial" w:eastAsia="Arial" w:hAnsi="Arial"/>
          <w:sz w:val="24"/>
          <w:szCs w:val="24"/>
        </w:rPr>
        <w:t xml:space="preserve">В структуре номинального ВВП доля отраслей, производящих товары, увеличилась на 2,2 процентных пункта и составила 35,8%; доля отраслей, оказывающих услуги, сократилась на 0,9 процентных пункта и составила 50,7%.</w:t>
      </w:r>
    </w:p>
    <w:p>
      <w:pPr>
        <w:spacing w:after="60"/>
        <w:ind w:firstLine="567"/>
        <w:jc w:val="both"/>
      </w:pPr>
      <w:r>
        <w:rPr>
          <w:rFonts w:ascii="Arial" w:cs="Arial" w:eastAsia="Arial" w:hAnsi="Arial"/>
          <w:sz w:val="24"/>
          <w:szCs w:val="24"/>
        </w:rPr>
        <w:t xml:space="preserve">Основными факторами сохранения положительной динамики экономического роста и увеличения объемов производства в отраслях в отчетном периоде стали создание благоприятных условий для ведения бизнеса через сокращение проверок, количества лицензий и других мер государственного регулирования:</w:t>
      </w:r>
    </w:p>
    <w:p>
      <w:pPr>
        <w:spacing w:after="60"/>
        <w:ind w:firstLine="567"/>
        <w:jc w:val="both"/>
      </w:pPr>
      <w:r>
        <w:rPr>
          <w:rFonts w:ascii="Arial" w:cs="Arial" w:eastAsia="Arial" w:hAnsi="Arial"/>
          <w:sz w:val="24"/>
          <w:szCs w:val="24"/>
        </w:rPr>
        <w:t xml:space="preserve">- в сельском хозяйстве за счет:</w:t>
      </w:r>
    </w:p>
    <w:p>
      <w:pPr>
        <w:spacing w:after="60"/>
        <w:ind w:firstLine="567"/>
        <w:jc w:val="both"/>
      </w:pPr>
      <w:r>
        <w:rPr>
          <w:rFonts w:ascii="Arial" w:cs="Arial" w:eastAsia="Arial" w:hAnsi="Arial"/>
          <w:sz w:val="24"/>
          <w:szCs w:val="24"/>
        </w:rPr>
        <w:t xml:space="preserve">предоставления льготных кредитов фермерам (по состоянию на 6 августа 2015 года выдано шестью банками 7712 кредитов на общую сумму 2,941 млрд. сомов);</w:t>
      </w:r>
    </w:p>
    <w:p>
      <w:pPr>
        <w:spacing w:after="60"/>
        <w:ind w:firstLine="567"/>
        <w:jc w:val="both"/>
      </w:pPr>
      <w:r>
        <w:rPr>
          <w:rFonts w:ascii="Arial" w:cs="Arial" w:eastAsia="Arial" w:hAnsi="Arial"/>
          <w:sz w:val="24"/>
          <w:szCs w:val="24"/>
        </w:rPr>
        <w:t xml:space="preserve">увеличения производства животноводческой отрасли на 2,2%;</w:t>
      </w:r>
    </w:p>
    <w:p>
      <w:pPr>
        <w:spacing w:after="60"/>
        <w:ind w:firstLine="567"/>
        <w:jc w:val="both"/>
      </w:pPr>
      <w:r>
        <w:rPr>
          <w:rFonts w:ascii="Arial" w:cs="Arial" w:eastAsia="Arial" w:hAnsi="Arial"/>
          <w:sz w:val="24"/>
          <w:szCs w:val="24"/>
        </w:rPr>
        <w:t xml:space="preserve">раннего хода уборки зерновых и бахчевых культур, картофеля, сбора плодово-ягодных и овощных культур (рост продукции растениеводства на 9,9%) за счет благоприятных природных условий;</w:t>
      </w:r>
    </w:p>
    <w:p>
      <w:pPr>
        <w:spacing w:after="60"/>
        <w:ind w:firstLine="567"/>
        <w:jc w:val="both"/>
      </w:pPr>
      <w:r>
        <w:rPr>
          <w:rFonts w:ascii="Arial" w:cs="Arial" w:eastAsia="Arial" w:hAnsi="Arial"/>
          <w:sz w:val="24"/>
          <w:szCs w:val="24"/>
        </w:rPr>
        <w:t xml:space="preserve">увеличения урожайности в зерновых культурах (для справки: по итогам 7 месяцев т.г. урожайность пшеницы составляет 26,0 ц/га, что больше на 6,7 ц/га по сравнению с прошлым годом, урожайность ячменя 20,7 ц/га или на 8,2 ц/га больше, урожайность прочих зерновых увеличилась в 2 раза, составив 28,1 ц/га, урожайность зернобобовых и масличных культур также увеличились на 1,2 ц/га, составив 19,3 ц/га и 18,8 ц/га соответственно);</w:t>
      </w:r>
    </w:p>
    <w:p>
      <w:pPr>
        <w:spacing w:after="60"/>
        <w:ind w:firstLine="567"/>
        <w:jc w:val="both"/>
      </w:pPr>
      <w:r>
        <w:rPr>
          <w:rFonts w:ascii="Arial" w:cs="Arial" w:eastAsia="Arial" w:hAnsi="Arial"/>
          <w:sz w:val="24"/>
          <w:szCs w:val="24"/>
        </w:rPr>
        <w:t xml:space="preserve">- в промышленности за счет:</w:t>
      </w:r>
    </w:p>
    <w:p>
      <w:pPr>
        <w:spacing w:after="60"/>
        <w:ind w:firstLine="567"/>
        <w:jc w:val="both"/>
      </w:pPr>
      <w:r>
        <w:rPr>
          <w:rFonts w:ascii="Arial" w:cs="Arial" w:eastAsia="Arial" w:hAnsi="Arial"/>
          <w:sz w:val="24"/>
          <w:szCs w:val="24"/>
        </w:rPr>
        <w:t xml:space="preserve">стабильной работы предприятия по разработке месторождения Кумтор (положительный вклад 2,80 процентного пункта), где объем производства основных металлов увеличился в 1,5 раза;</w:t>
      </w:r>
    </w:p>
    <w:p>
      <w:pPr>
        <w:spacing w:after="60"/>
        <w:ind w:firstLine="567"/>
        <w:jc w:val="both"/>
      </w:pPr>
      <w:r>
        <w:rPr>
          <w:rFonts w:ascii="Arial" w:cs="Arial" w:eastAsia="Arial" w:hAnsi="Arial"/>
          <w:sz w:val="24"/>
          <w:szCs w:val="24"/>
        </w:rPr>
        <w:t xml:space="preserve">увеличения объемов производства нефтепродуктов в 3,4 раза за счет наращивания производства на НПЗ "Петроль Компани "Джунда";</w:t>
      </w:r>
    </w:p>
    <w:p>
      <w:pPr>
        <w:spacing w:after="60"/>
        <w:ind w:firstLine="567"/>
        <w:jc w:val="both"/>
      </w:pPr>
      <w:r>
        <w:rPr>
          <w:rFonts w:ascii="Arial" w:cs="Arial" w:eastAsia="Arial" w:hAnsi="Arial"/>
          <w:sz w:val="24"/>
          <w:szCs w:val="24"/>
        </w:rPr>
        <w:t xml:space="preserve">стабильной работы угледобывающих предприятий (рост на 26,5%) и предприятий по добыче нефти и газа (рост на 13%);</w:t>
      </w:r>
    </w:p>
    <w:p>
      <w:pPr>
        <w:spacing w:after="60"/>
        <w:ind w:firstLine="567"/>
        <w:jc w:val="both"/>
      </w:pPr>
      <w:r>
        <w:rPr>
          <w:rFonts w:ascii="Arial" w:cs="Arial" w:eastAsia="Arial" w:hAnsi="Arial"/>
          <w:sz w:val="24"/>
          <w:szCs w:val="24"/>
        </w:rPr>
        <w:t xml:space="preserve">роста добычи металлических руд в 7,2 раза за счет ввода месторождения Бозымчак;</w:t>
      </w:r>
    </w:p>
    <w:p>
      <w:pPr>
        <w:spacing w:after="60"/>
        <w:ind w:firstLine="567"/>
        <w:jc w:val="both"/>
      </w:pPr>
      <w:r>
        <w:rPr>
          <w:rFonts w:ascii="Arial" w:cs="Arial" w:eastAsia="Arial" w:hAnsi="Arial"/>
          <w:sz w:val="24"/>
          <w:szCs w:val="24"/>
        </w:rPr>
        <w:t xml:space="preserve">увеличения объемов производства строительных материалов (рост на 13,3%) за счет реализации инфраструктурных и крупных инвестиционных проектов;</w:t>
      </w:r>
    </w:p>
    <w:p>
      <w:pPr>
        <w:spacing w:after="60"/>
        <w:ind w:firstLine="567"/>
        <w:jc w:val="both"/>
      </w:pPr>
      <w:r>
        <w:rPr>
          <w:rFonts w:ascii="Arial" w:cs="Arial" w:eastAsia="Arial" w:hAnsi="Arial"/>
          <w:sz w:val="24"/>
          <w:szCs w:val="24"/>
        </w:rPr>
        <w:t xml:space="preserve">- в строительстве за счет:</w:t>
      </w:r>
    </w:p>
    <w:p>
      <w:pPr>
        <w:spacing w:after="60"/>
        <w:ind w:firstLine="567"/>
        <w:jc w:val="both"/>
      </w:pPr>
      <w:r>
        <w:rPr>
          <w:rFonts w:ascii="Arial" w:cs="Arial" w:eastAsia="Arial" w:hAnsi="Arial"/>
          <w:sz w:val="24"/>
          <w:szCs w:val="24"/>
        </w:rPr>
        <w:t xml:space="preserve">увеличения общего объема валовой продукции строительства на 10,2% (в январе-июле 2014 года рост на 21,3%), обусловленный ростом объемов выполненных строительных подрядных и прочих капитальных работ и затрат, а также капитального и текущего ремонта зданий и сооружений за счет роста объемов инвестиций, финансируемых за счет внутренних источников, которые возросли на 3,3% (из них за счет местного бюджета - в 3,3 раза, республиканского - в 1,8 раза, средств населения - на 28,4%), внешних источников - на 16,5% (в том числе за счет иностранных грантов - в 2,6 раза, прямых иностранных инвестиций - на 26,9%);</w:t>
      </w:r>
    </w:p>
    <w:p>
      <w:pPr>
        <w:spacing w:after="60"/>
        <w:ind w:firstLine="567"/>
        <w:jc w:val="both"/>
      </w:pPr>
      <w:r>
        <w:rPr>
          <w:rFonts w:ascii="Arial" w:cs="Arial" w:eastAsia="Arial" w:hAnsi="Arial"/>
          <w:sz w:val="24"/>
          <w:szCs w:val="24"/>
        </w:rPr>
        <w:t xml:space="preserve">- в сфере услуг за счет:</w:t>
      </w:r>
    </w:p>
    <w:p>
      <w:pPr>
        <w:spacing w:after="60"/>
        <w:ind w:firstLine="567"/>
        <w:jc w:val="both"/>
      </w:pPr>
      <w:r>
        <w:rPr>
          <w:rFonts w:ascii="Arial" w:cs="Arial" w:eastAsia="Arial" w:hAnsi="Arial"/>
          <w:sz w:val="24"/>
          <w:szCs w:val="24"/>
        </w:rPr>
        <w:t xml:space="preserve">увеличения оптовой и розничной торговли; ремонта автомобилей и мотоциклов, где прирост составил 4,1%, услуг от транспортной деятельности - 3,8% и информации и связи - 4,9%.</w:t>
      </w:r>
    </w:p>
    <w:p>
      <w:pPr>
        <w:spacing w:after="60"/>
        <w:ind w:firstLine="567"/>
        <w:jc w:val="both"/>
      </w:pPr>
      <w:r>
        <w:rPr>
          <w:rFonts w:ascii="Arial" w:cs="Arial" w:eastAsia="Arial" w:hAnsi="Arial"/>
          <w:sz w:val="24"/>
          <w:szCs w:val="24"/>
        </w:rPr>
        <w:t xml:space="preserve">Кроме того, экономический рост обеспечен за счет:</w:t>
      </w:r>
    </w:p>
    <w:p>
      <w:pPr>
        <w:spacing w:after="60"/>
        <w:ind w:firstLine="567"/>
        <w:jc w:val="both"/>
      </w:pPr>
      <w:r>
        <w:rPr>
          <w:rFonts w:ascii="Arial" w:cs="Arial" w:eastAsia="Arial" w:hAnsi="Arial"/>
          <w:sz w:val="24"/>
          <w:szCs w:val="24"/>
        </w:rPr>
        <w:t xml:space="preserve">- роста потребительских кредитов на 42,2% за январь-июнь текущего года по сравнению с аналогичным периодом 2014 года;</w:t>
      </w:r>
    </w:p>
    <w:p>
      <w:pPr>
        <w:spacing w:after="60"/>
        <w:ind w:firstLine="567"/>
        <w:jc w:val="both"/>
      </w:pPr>
      <w:r>
        <w:rPr>
          <w:rFonts w:ascii="Arial" w:cs="Arial" w:eastAsia="Arial" w:hAnsi="Arial"/>
          <w:sz w:val="24"/>
          <w:szCs w:val="24"/>
        </w:rPr>
        <w:t xml:space="preserve">- роста кредитов в экономику за январь-июнь 2015 года на 10,7% по сравнению с аналогичным периодом 2014 года.</w:t>
      </w:r>
    </w:p>
    <w:p>
      <w:pPr>
        <w:spacing w:after="60"/>
        <w:ind w:firstLine="567"/>
        <w:jc w:val="both"/>
      </w:pPr>
      <w:r>
        <w:rPr>
          <w:rFonts w:ascii="Arial" w:cs="Arial" w:eastAsia="Arial" w:hAnsi="Arial"/>
          <w:sz w:val="24"/>
          <w:szCs w:val="24"/>
        </w:rPr>
        <w:t xml:space="preserve">Индекс потребительских цен, характеризующий уровень инфляции, составил 99,8% (июль 2015 года к декабрю предыдущего года), за аналогичный период 2014 года составил 105,0%. Среднегодовое значение инфляции (январь-июль 2015 года к январю-июлю 2014 года) составило 107,7%.</w:t>
      </w:r>
    </w:p>
    <w:p>
      <w:pPr>
        <w:spacing w:after="60"/>
        <w:ind w:firstLine="567"/>
        <w:jc w:val="both"/>
      </w:pPr>
      <w:r>
        <w:rPr>
          <w:rFonts w:ascii="Arial" w:cs="Arial" w:eastAsia="Arial" w:hAnsi="Arial"/>
          <w:sz w:val="24"/>
          <w:szCs w:val="24"/>
        </w:rPr>
        <w:t xml:space="preserve">При этом снижение цен с начала 2015 года зафиксировано только на пищевые продукты и безалкогольные напитки на 5,1%, в то время как на непродовольственные товары они возросли на 5,1%, и на услуги - на 3,4%. Алкогольные напитки и табачные изделия с начала т.г. подорожали на 4,9%.</w:t>
      </w:r>
    </w:p>
    <w:p>
      <w:pPr>
        <w:spacing w:after="60"/>
        <w:ind w:firstLine="567"/>
        <w:jc w:val="both"/>
      </w:pPr>
      <w:r>
        <w:rPr>
          <w:rFonts w:ascii="Arial" w:cs="Arial" w:eastAsia="Arial" w:hAnsi="Arial"/>
          <w:sz w:val="24"/>
          <w:szCs w:val="24"/>
        </w:rPr>
        <w:t xml:space="preserve">На сложившийся уровень цен как сдерживающее, так и возрастающее влияние оказали такие факторы, как:</w:t>
      </w:r>
    </w:p>
    <w:p>
      <w:pPr>
        <w:spacing w:after="60"/>
        <w:ind w:firstLine="567"/>
        <w:jc w:val="both"/>
      </w:pPr>
      <w:r>
        <w:rPr>
          <w:rFonts w:ascii="Arial" w:cs="Arial" w:eastAsia="Arial" w:hAnsi="Arial"/>
          <w:sz w:val="24"/>
          <w:szCs w:val="24"/>
        </w:rPr>
        <w:t xml:space="preserve">- замедление роста мировых цен на основные продовольственные товары;</w:t>
      </w:r>
    </w:p>
    <w:p>
      <w:pPr>
        <w:spacing w:after="60"/>
        <w:ind w:firstLine="567"/>
        <w:jc w:val="both"/>
      </w:pPr>
      <w:r>
        <w:rPr>
          <w:rFonts w:ascii="Arial" w:cs="Arial" w:eastAsia="Arial" w:hAnsi="Arial"/>
          <w:sz w:val="24"/>
          <w:szCs w:val="24"/>
        </w:rPr>
        <w:t xml:space="preserve">- сезонные колебания цен на продовольственные товары (фрукты, овощи);</w:t>
      </w:r>
    </w:p>
    <w:p>
      <w:pPr>
        <w:spacing w:after="60"/>
        <w:ind w:firstLine="567"/>
        <w:jc w:val="both"/>
      </w:pPr>
      <w:r>
        <w:rPr>
          <w:rFonts w:ascii="Arial" w:cs="Arial" w:eastAsia="Arial" w:hAnsi="Arial"/>
          <w:sz w:val="24"/>
          <w:szCs w:val="24"/>
        </w:rPr>
        <w:t xml:space="preserve">- снижение значения прироста цен (за июль к декабрю предыдущего года) на продовольственные товары до 5,1% (в июле 2014 года по сравнению с декабрем прирост цен составил 6,5%), которые занимают основную долю в потребительской корзине (48,2%);</w:t>
      </w:r>
    </w:p>
    <w:p>
      <w:pPr>
        <w:spacing w:after="60"/>
        <w:ind w:firstLine="567"/>
        <w:jc w:val="both"/>
      </w:pPr>
      <w:r>
        <w:rPr>
          <w:rFonts w:ascii="Arial" w:cs="Arial" w:eastAsia="Arial" w:hAnsi="Arial"/>
          <w:sz w:val="24"/>
          <w:szCs w:val="24"/>
        </w:rPr>
        <w:t xml:space="preserve">- укрепление курса доллара США по отношению к национальной валюте (по состоянию на 31 июля 2015 года обесценение сома на 3,6%) и валютам государств - членов ЕАЭС (в среднем укрепление составило 13,2%);</w:t>
      </w:r>
    </w:p>
    <w:p>
      <w:pPr>
        <w:spacing w:after="60"/>
        <w:ind w:firstLine="567"/>
        <w:jc w:val="both"/>
      </w:pPr>
      <w:r>
        <w:rPr>
          <w:rFonts w:ascii="Arial" w:cs="Arial" w:eastAsia="Arial" w:hAnsi="Arial"/>
          <w:sz w:val="24"/>
          <w:szCs w:val="24"/>
        </w:rPr>
        <w:t xml:space="preserve">- снижение цен на внутреннем рынке на ГСМ (по причине падения отпускных цен на российских нефтеперерабатывающих заводах, а также влияния низких цен на сырую нефть на мировом рынке).</w:t>
      </w:r>
    </w:p>
    <w:p>
      <w:pPr>
        <w:spacing w:after="60"/>
        <w:ind w:firstLine="567"/>
        <w:jc w:val="both"/>
      </w:pPr>
      <w:r>
        <w:rPr>
          <w:rFonts w:ascii="Arial" w:cs="Arial" w:eastAsia="Arial" w:hAnsi="Arial"/>
          <w:sz w:val="24"/>
          <w:szCs w:val="24"/>
        </w:rPr>
        <w:t xml:space="preserve">Суммарные активы банковского сектора на 31 мая 2015 года увеличились с начала года на 8,7% и составили 149,5 млрд. сомов. Общая депозитная база банковского сектора(4) составила 78,4 млрд. сомов, увеличившись с начала года на 0,6%, в том числе депозиты юридических лиц составили 31,9 млрд. сомов, увеличившись с начала года на 3,1%, и депозиты физических лиц составили 35,9 млрд. сомов; прирост с начала года - на 3,6%.Объем кредитного портфеля(5) банковского сектора по состоянию на 31 мая 2015 года составил 85,8 млрд. сомов, увеличившись с начала года на 9,0% (на конец 2014 года - 78,8 млрд. сомов).</w:t>
      </w:r>
    </w:p>
    <w:p>
      <w:pPr>
        <w:spacing w:after="60"/>
        <w:ind w:firstLine="567"/>
        <w:jc w:val="both"/>
      </w:pPr>
      <w:r>
        <w:rPr>
          <w:rFonts w:ascii="Arial" w:cs="Arial" w:eastAsia="Arial" w:hAnsi="Arial"/>
          <w:sz w:val="24"/>
          <w:szCs w:val="24"/>
        </w:rPr>
        <w:t xml:space="preserve">Общий объем доходов государственного бюджета за январь-июнь 2015 года составил 59810,9 млн. сомов (34,7% к ВВП), или 120,5% от установленного планового задания, в сравнении с аналогичным периодом 2014 года общие доходы бюджета возросли на 21,6% в связи с ростом как налоговых, так и неналоговых доходов. За январь-июнь 2015 года расходная часть республиканского бюджета исполнена в сумме 52791,2 млн. сомов (30,6% к ВВП), или на 93,6% от плана в сумме 55901,8 млн. сомов. В сравнении с аналогичным периодом 2014 года общие расходы увеличились на 6201,3 млн. сомов, или на 12,3%. 3а январь-июнь 2015 года удельный вес расходов из республиканского бюджета на социальную сферу (27839,8 млн. сомов) составил 58,5%.</w:t>
      </w:r>
    </w:p>
    <w:p>
      <w:pPr>
        <w:spacing w:after="60"/>
        <w:ind w:firstLine="567"/>
        <w:jc w:val="both"/>
      </w:pPr>
      <w:r>
        <w:rPr>
          <w:rFonts w:ascii="Arial" w:cs="Arial" w:eastAsia="Arial" w:hAnsi="Arial"/>
          <w:sz w:val="24"/>
          <w:szCs w:val="24"/>
        </w:rPr>
        <w:t xml:space="preserve">В области социальной защиты населения проводится целенаправленная работа по повышению уровня жизни населения и улучшению положения социально уязвимых групп населения. На выплату государственных пособий из средств республиканского бюджета профинансированы денежные средства на общую сумму 2248,5 млн. сомов (рост на 4,7%). За январь-июнь 2015 года вся потребная сумма на выплату пенсий и иных социальных выплат в объеме 16474,2 млн. сомов профинансирована в полном объеме.</w:t>
      </w:r>
    </w:p>
    <w:p>
      <w:pPr>
        <w:spacing w:after="60"/>
        <w:ind w:firstLine="567"/>
        <w:jc w:val="both"/>
      </w:pPr>
      <w:r>
        <w:rPr>
          <w:rFonts w:ascii="Arial" w:cs="Arial" w:eastAsia="Arial" w:hAnsi="Arial"/>
          <w:sz w:val="24"/>
          <w:szCs w:val="24"/>
        </w:rPr>
        <w:t xml:space="preserve">Среднемесячная номинальная заработная плата одного работника в январе-июне 2015 года (без учета малых предприятий) составила 12484,0 сомов, увеличившись по сравнению с январем-июнем 2014 года на 7,9%, а ее реальный размер, исчисленный с учетом индекса потребительских цен, уменьшился на 0,3%. Величина прожиточного минимума во II квартале 2015 года составила 5396,27 сома и по сравнению с соответствующим периодом прошлого года возросла на 7,7%, а по сравнению с I кварталом 2015 года ее рост составил 0,3%.</w:t>
      </w:r>
    </w:p>
    <w:p>
      <w:pPr>
        <w:spacing w:after="60"/>
        <w:ind w:firstLine="567"/>
        <w:jc w:val="both"/>
      </w:pPr>
      <w:r>
        <w:rPr>
          <w:rFonts w:ascii="Arial" w:cs="Arial" w:eastAsia="Arial" w:hAnsi="Arial"/>
          <w:sz w:val="24"/>
          <w:szCs w:val="24"/>
        </w:rPr>
        <w:t xml:space="preserve">Таким образом, в преддверии вступления Кыргызской Республики в ЕАЭС сложилась устойчивая экономическая и политическая стабильность после финансово-экономического кризиса в стране в 2010 году, но появились новые факторы и риски, которые влияют на формирование макроэкономических показателей развития.</w:t>
      </w:r>
    </w:p>
    <w:p>
      <w:pPr>
        <w:spacing w:after="60"/>
        <w:ind w:firstLine="567"/>
        <w:jc w:val="both"/>
      </w:pPr>
      <w:r>
        <w:rPr>
          <w:rFonts w:ascii="Arial" w:cs="Arial" w:eastAsia="Arial" w:hAnsi="Arial"/>
          <w:sz w:val="24"/>
          <w:szCs w:val="24"/>
        </w:rPr>
        <w:t xml:space="preserve">Социально-экономическое развитие Кыргызской Республики происходит все еще в условиях продолжающегося замедления экономического роста стран - основных торговых партнеров.</w:t>
      </w:r>
    </w:p>
    <w:p>
      <w:pPr>
        <w:spacing w:after="60"/>
        <w:ind w:firstLine="567"/>
        <w:jc w:val="both"/>
      </w:pPr>
      <w:r>
        <w:rPr>
          <w:rFonts w:ascii="Arial" w:cs="Arial" w:eastAsia="Arial" w:hAnsi="Arial"/>
          <w:sz w:val="24"/>
          <w:szCs w:val="24"/>
        </w:rPr>
        <w:t xml:space="preserve">По итогам </w:t>
      </w:r>
      <w:r>
        <w:rPr>
          <w:rFonts w:ascii="Arial" w:cs="Arial" w:eastAsia="Arial" w:hAnsi="Arial"/>
          <w:sz w:val="24"/>
          <w:szCs w:val="24"/>
        </w:rPr>
        <w:t xml:space="preserve">I </w:t>
      </w:r>
      <w:r>
        <w:rPr>
          <w:rFonts w:ascii="Arial" w:cs="Arial" w:eastAsia="Arial" w:hAnsi="Arial"/>
          <w:sz w:val="24"/>
          <w:szCs w:val="24"/>
        </w:rPr>
        <w:t xml:space="preserve">полугодия 2015 года в России сложилась отрицательная динамика экономического роста (-3,4%), а в Казахстане - замедлилась (до 1,7%). В результате снизился объем чистого притока в республику денежных переводов физических лиц на 25,4%, который за I полугодие 2015 год составил 618,99 млн. долл. США.</w:t>
      </w:r>
    </w:p>
    <w:p>
      <w:pPr>
        <w:spacing w:after="60"/>
        <w:ind w:firstLine="567"/>
        <w:jc w:val="both"/>
      </w:pPr>
      <w:r>
        <w:rPr>
          <w:rFonts w:ascii="Arial" w:cs="Arial" w:eastAsia="Arial" w:hAnsi="Arial"/>
          <w:sz w:val="24"/>
          <w:szCs w:val="24"/>
        </w:rPr>
        <w:t xml:space="preserve">Внешнеторговый оборот Кыргызской Республики за январь-июнь 2015 года по сравнению с аналогичным периодом 2014 года снизился на 13,5% и составил 2707,9 млн. долл. США, или меньше на 422,7 млн. долл. США.</w:t>
      </w:r>
    </w:p>
    <w:p>
      <w:pPr>
        <w:spacing w:after="60"/>
        <w:ind w:firstLine="567"/>
        <w:jc w:val="both"/>
      </w:pPr>
      <w:r>
        <w:rPr>
          <w:rFonts w:ascii="Arial" w:cs="Arial" w:eastAsia="Arial" w:hAnsi="Arial"/>
          <w:sz w:val="24"/>
          <w:szCs w:val="24"/>
        </w:rPr>
        <w:t xml:space="preserve">За январь-июнь 2015 года экспорт составил 712,6 млн. долл. США, что меньше объема экспортных поставок за январь-июнь 2014 года на 2,6%. Несмотря на высокий темп роста экспорта золота (в 1,4 раза) и его значительный удельный вес в товарной структуре экспорта (57,7%), снижение общего объема экспорта в целом по республике по сравнению с аналогичным периодом прошлого года, в основном, обусловлено сокращением поставок товаров в государства - участники СНГ (на 33,8%). При этом, поставки фруктов снизились в 3,4 раза, овощей - в 1,8 раза, неорганических химических веществ - на 49%, предметов одежды и одежных принадлежностей - на 38,7%.</w:t>
      </w:r>
    </w:p>
    <w:p>
      <w:pPr>
        <w:spacing w:after="60"/>
        <w:ind w:firstLine="567"/>
        <w:jc w:val="both"/>
      </w:pPr>
      <w:r>
        <w:rPr>
          <w:rFonts w:ascii="Arial" w:cs="Arial" w:eastAsia="Arial" w:hAnsi="Arial"/>
          <w:sz w:val="24"/>
          <w:szCs w:val="24"/>
        </w:rPr>
        <w:t xml:space="preserve">За январь-июнь 2015 года импортные поступления уменьшились на 16,8%, составив 1995,3 млн. долл. США, что связано с уменьшением объемов ввоза бывших в употреблении грузовых (в 27,9 раза) и легковых (в 22,9 раза) автомобилей, предметов одежды и аксессуаров (в 2 раза), удобрений (на 28%), пластмассы и изделий из них (на 22%).</w:t>
      </w:r>
    </w:p>
    <w:p>
      <w:pPr>
        <w:spacing w:after="60"/>
        <w:ind w:firstLine="567"/>
        <w:jc w:val="both"/>
      </w:pPr>
      <w:r>
        <w:rPr>
          <w:rFonts w:ascii="Arial" w:cs="Arial" w:eastAsia="Arial" w:hAnsi="Arial"/>
          <w:sz w:val="24"/>
          <w:szCs w:val="24"/>
        </w:rPr>
        <w:t xml:space="preserve">Итоги социально-экономического развития Кыргызской Республики за 7 месяцев 2015 года показывают нисходящую траекторию развития (табл. 4), к июлю т.г. темпы роста экономики замедлились до 7,1%, снизившись на 2,4 процентного пункта с начала года (в феврале т.г. - 9,5%).</w:t>
      </w:r>
    </w:p>
    <w:p>
      <w:pPr>
        <w:spacing w:after="120" w:before="120"/>
        <w:ind w:firstLine="567"/>
        <w:jc w:val="right"/>
      </w:pPr>
      <w:r>
        <w:rPr>
          <w:rFonts w:ascii="Arial" w:cs="Arial" w:eastAsia="Arial" w:hAnsi="Arial"/>
          <w:sz w:val="24"/>
          <w:szCs w:val="24"/>
        </w:rPr>
        <w:t xml:space="preserve">Таблица 4</w:t>
      </w:r>
    </w:p>
    <w:p>
      <w:pPr>
        <w:spacing w:after="200" w:before="200"/>
        <w:jc w:val="center"/>
      </w:pPr>
      <w:r>
        <w:rPr>
          <w:rFonts w:ascii="Arial" w:cs="Arial" w:eastAsia="Arial" w:hAnsi="Arial"/>
          <w:b/>
          <w:bCs/>
          <w:sz w:val="32"/>
          <w:szCs w:val="32"/>
        </w:rPr>
        <w:t xml:space="preserve">Динамика экономического роста с начала 2015 года</w:t>
      </w:r>
    </w:p>
    <w:p>
      <w:pPr>
        <w:spacing w:after="60"/>
        <w:ind w:firstLine="567"/>
        <w:jc w:val="right"/>
      </w:pPr>
      <w:r>
        <w:rPr>
          <w:rFonts w:ascii="Arial" w:cs="Arial" w:eastAsia="Arial" w:hAnsi="Arial"/>
          <w:sz w:val="24"/>
          <w:szCs w:val="24"/>
        </w:rPr>
        <w:t xml:space="preserve">(в процентах)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23"/>
        <w:gridCol w:w="1002"/>
        <w:gridCol w:w="1274"/>
        <w:gridCol w:w="1150"/>
        <w:gridCol w:w="1185"/>
        <w:gridCol w:w="1136"/>
        <w:gridCol w:w="1154"/>
        <w:gridCol w:w="1154"/>
      </w:tblGrid>
      <w:tr>
        <w:tc>
          <w:tcPr>
            <w:tcW w:type="dxa" w:w="21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12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Январь-февраль</w:t>
            </w:r>
          </w:p>
        </w:tc>
        <w:tc>
          <w:tcPr>
            <w:tcW w:type="dxa" w:w="11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Январь-март</w:t>
            </w:r>
          </w:p>
        </w:tc>
        <w:tc>
          <w:tcPr>
            <w:tcW w:type="dxa" w:w="11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Январь-апрель</w:t>
            </w:r>
          </w:p>
        </w:tc>
        <w:tc>
          <w:tcPr>
            <w:tcW w:type="dxa" w:w="11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Январь-май</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Январь-июнь</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Январь-июль</w:t>
            </w:r>
          </w:p>
        </w:tc>
      </w:tr>
      <w:tr>
        <w:tc>
          <w:tcPr>
            <w:tcW w:type="dxa" w:w="2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1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r>
      <w:tr>
        <w:tc>
          <w:tcPr>
            <w:tcW w:type="dxa" w:w="2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125,7</w:t>
            </w:r>
          </w:p>
        </w:tc>
        <w:tc>
          <w:tcPr>
            <w:tcW w:type="dxa" w:w="1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121,0</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121,2</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123,7</w:t>
            </w:r>
          </w:p>
        </w:tc>
      </w:tr>
      <w:tr>
        <w:tc>
          <w:tcPr>
            <w:tcW w:type="dxa" w:w="2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2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111,6</w:t>
            </w:r>
          </w:p>
        </w:tc>
        <w:tc>
          <w:tcPr>
            <w:tcW w:type="dxa" w:w="1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w:t>
            </w:r>
          </w:p>
        </w:tc>
      </w:tr>
      <w:tr>
        <w:tc>
          <w:tcPr>
            <w:tcW w:type="dxa" w:w="2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bl>
    <w:p>
      <w:pPr>
        <w:spacing w:after="60" w:before="120"/>
        <w:ind w:firstLine="567"/>
        <w:jc w:val="both"/>
      </w:pPr>
      <w:r>
        <w:rPr>
          <w:rFonts w:ascii="Arial" w:cs="Arial" w:eastAsia="Arial" w:hAnsi="Arial"/>
          <w:sz w:val="24"/>
          <w:szCs w:val="24"/>
        </w:rPr>
        <w:t xml:space="preserve">Дефлятор валового внутреннего продукта имеет устойчивый нисходящий тренд во всех секторах экономики, который может привести к уменьшению номинального объема ВВП.</w:t>
      </w:r>
    </w:p>
    <w:p>
      <w:pPr>
        <w:spacing w:after="120" w:before="120"/>
        <w:ind w:firstLine="567"/>
        <w:jc w:val="right"/>
      </w:pPr>
      <w:r>
        <w:rPr>
          <w:rFonts w:ascii="Arial" w:cs="Arial" w:eastAsia="Arial" w:hAnsi="Arial"/>
          <w:sz w:val="24"/>
          <w:szCs w:val="24"/>
        </w:rPr>
        <w:t xml:space="preserve">Таблица 5</w:t>
      </w:r>
    </w:p>
    <w:p>
      <w:pPr>
        <w:spacing w:after="60" w:before="200"/>
        <w:jc w:val="center"/>
      </w:pPr>
      <w:r>
        <w:rPr>
          <w:rFonts w:ascii="Arial" w:cs="Arial" w:eastAsia="Arial" w:hAnsi="Arial"/>
          <w:b/>
          <w:bCs/>
          <w:sz w:val="32"/>
          <w:szCs w:val="32"/>
        </w:rPr>
        <w:t xml:space="preserve">Динамика уровня дефлятора валового внутреннего
 продукта с начала 2015 года</w:t>
      </w:r>
    </w:p>
    <w:p>
      <w:pPr>
        <w:spacing w:after="60"/>
        <w:ind w:firstLine="567"/>
        <w:jc w:val="right"/>
      </w:pPr>
      <w:r>
        <w:rPr>
          <w:rFonts w:ascii="Arial" w:cs="Arial" w:eastAsia="Arial" w:hAnsi="Arial"/>
          <w:sz w:val="24"/>
          <w:szCs w:val="24"/>
        </w:rPr>
        <w:t xml:space="preserve">(в процентах)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23"/>
        <w:gridCol w:w="1002"/>
        <w:gridCol w:w="1274"/>
        <w:gridCol w:w="1150"/>
        <w:gridCol w:w="1185"/>
        <w:gridCol w:w="1136"/>
        <w:gridCol w:w="1154"/>
        <w:gridCol w:w="1154"/>
      </w:tblGrid>
      <w:tr>
        <w:tc>
          <w:tcPr>
            <w:tcW w:type="dxa" w:w="21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12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Январь-февраль</w:t>
            </w:r>
          </w:p>
        </w:tc>
        <w:tc>
          <w:tcPr>
            <w:tcW w:type="dxa" w:w="11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Январь-март</w:t>
            </w:r>
          </w:p>
        </w:tc>
        <w:tc>
          <w:tcPr>
            <w:tcW w:type="dxa" w:w="11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Январь-апрель</w:t>
            </w:r>
          </w:p>
        </w:tc>
        <w:tc>
          <w:tcPr>
            <w:tcW w:type="dxa" w:w="11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Январь-май</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Январь-июнь</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Январь-июль</w:t>
            </w:r>
          </w:p>
        </w:tc>
      </w:tr>
      <w:tr>
        <w:tc>
          <w:tcPr>
            <w:tcW w:type="dxa" w:w="2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113,2</w:t>
            </w:r>
          </w:p>
        </w:tc>
        <w:tc>
          <w:tcPr>
            <w:tcW w:type="dxa" w:w="1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2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133,2</w:t>
            </w:r>
          </w:p>
        </w:tc>
        <w:tc>
          <w:tcPr>
            <w:tcW w:type="dxa" w:w="1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121,9</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117,7</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r>
      <w:tr>
        <w:tc>
          <w:tcPr>
            <w:tcW w:type="dxa" w:w="2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1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2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r>
      <w:tr>
        <w:tc>
          <w:tcPr>
            <w:tcW w:type="dxa" w:w="2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c>
          <w:tcPr>
            <w:tcW w:type="dxa" w:w="1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r>
    </w:tbl>
    <w:p>
      <w:pPr>
        <w:spacing w:after="60" w:before="120"/>
        <w:ind w:firstLine="567"/>
        <w:jc w:val="both"/>
      </w:pPr>
      <w:r>
        <w:rPr>
          <w:rFonts w:ascii="Arial" w:cs="Arial" w:eastAsia="Arial" w:hAnsi="Arial"/>
          <w:sz w:val="24"/>
          <w:szCs w:val="24"/>
        </w:rPr>
        <w:t xml:space="preserve">Учитывая текущую тенденцию развития экономики и фактически сложившиеся условия, произведен расчет ожидаемых показателей в 2015 году и, соответственно, прогнозных значений на 2016-2018 годы.</w:t>
      </w:r>
    </w:p>
    <w:p>
      <w:pPr>
        <w:spacing w:after="200" w:before="200"/>
        <w:jc w:val="center"/>
      </w:pPr>
      <w:r>
        <w:rPr>
          <w:rFonts w:ascii="Arial" w:cs="Arial" w:eastAsia="Arial" w:hAnsi="Arial"/>
          <w:b/>
          <w:bCs/>
          <w:sz w:val="32"/>
          <w:szCs w:val="32"/>
        </w:rPr>
        <w:t xml:space="preserve">III</w:t>
      </w:r>
      <w:r>
        <w:rPr>
          <w:rFonts w:ascii="Arial" w:cs="Arial" w:eastAsia="Arial" w:hAnsi="Arial"/>
          <w:b/>
          <w:bCs/>
          <w:sz w:val="32"/>
          <w:szCs w:val="32"/>
        </w:rPr>
        <w:t xml:space="preserve">. Влияние вступления Кыргызской Республики в ЕАЭС на макроэкономические показатели</w:t>
      </w:r>
    </w:p>
    <w:p>
      <w:pPr>
        <w:spacing w:after="60"/>
        <w:ind w:firstLine="567"/>
        <w:jc w:val="both"/>
      </w:pPr>
      <w:r>
        <w:rPr>
          <w:rFonts w:ascii="Arial" w:cs="Arial" w:eastAsia="Arial" w:hAnsi="Arial"/>
          <w:sz w:val="24"/>
          <w:szCs w:val="24"/>
        </w:rPr>
        <w:t xml:space="preserve">Экономика Кыргызской Республики является самой открытой экономикой региона и характеризуется высокой зависимостью от производства золота, денежных переводов работников-мигрантов, транзитной торговли и внешней помощи. Эта зависимость обусловливает уязвимость экономики перед лицом внешних и внутренних потрясений, и экономика Кыргызстана все еще остается недостаточно устойчивой.</w:t>
      </w:r>
    </w:p>
    <w:p>
      <w:pPr>
        <w:spacing w:after="60"/>
        <w:ind w:firstLine="567"/>
        <w:jc w:val="both"/>
      </w:pPr>
      <w:r>
        <w:rPr>
          <w:rFonts w:ascii="Arial" w:cs="Arial" w:eastAsia="Arial" w:hAnsi="Arial"/>
          <w:sz w:val="24"/>
          <w:szCs w:val="24"/>
        </w:rPr>
        <w:t xml:space="preserve">Вступление Кыргызской Республики в ЕАЭС совпало с тем периодом, когда геоэкономическая ситуация в странах - основных торговых партнерах, начавшаяся в 2014 году, продолжает сохраняться и создает сложные внешние условия для функционирования экономик государств - членов ЕАЭС, которые в конечном итоге являются отправной точкой для 2015 года и могут привести к дальнейшему снижению темпов экономического роста государств - членов ЕАЭС, что, в свою очередь, окажет влияние на экономику Кыргызской Республики:</w:t>
      </w:r>
    </w:p>
    <w:p>
      <w:pPr>
        <w:spacing w:after="60"/>
        <w:ind w:firstLine="567"/>
        <w:jc w:val="both"/>
      </w:pPr>
      <w:r>
        <w:rPr>
          <w:rFonts w:ascii="Arial" w:cs="Arial" w:eastAsia="Arial" w:hAnsi="Arial"/>
          <w:sz w:val="24"/>
          <w:szCs w:val="24"/>
        </w:rPr>
        <w:t xml:space="preserve">цена на мировом сырьевом рынке продолжает оставаться все еще низкой: цена на нефть Brent, по состоянию на 14 августа 2015 года, составила 49,57 долл/баррель, тогда как в аналогичном периоде 2014 года составляла 102,08 долл/баррель;</w:t>
      </w:r>
    </w:p>
    <w:p>
      <w:pPr>
        <w:spacing w:after="60"/>
        <w:ind w:firstLine="567"/>
        <w:jc w:val="both"/>
      </w:pPr>
      <w:r>
        <w:rPr>
          <w:rFonts w:ascii="Arial" w:cs="Arial" w:eastAsia="Arial" w:hAnsi="Arial"/>
          <w:sz w:val="24"/>
          <w:szCs w:val="24"/>
        </w:rPr>
        <w:t xml:space="preserve">продолжается обесценение курса валют за счет укрепления доллара США, с начала года, по состоянию на 14 августа 2015 года, российский рубль обесценился на 13,8%, евро - на 9,3%, белорусский рубль - на 35,0%, азербайджанский манат - на 33,7%, казахский тенге - на 3,1%, армянский драм - на 0,6% и т.д. В среднем доллар США по отношению к другим валютам укрепился на 13,4% (в 2014 году - на 25,0%);</w:t>
      </w:r>
    </w:p>
    <w:p>
      <w:pPr>
        <w:spacing w:after="60"/>
        <w:ind w:firstLine="567"/>
        <w:jc w:val="both"/>
      </w:pPr>
      <w:r>
        <w:rPr>
          <w:rFonts w:ascii="Arial" w:cs="Arial" w:eastAsia="Arial" w:hAnsi="Arial"/>
          <w:sz w:val="24"/>
          <w:szCs w:val="24"/>
        </w:rPr>
        <w:t xml:space="preserve">продолжается отток капитала (например, в Российской Федераций за I полугодие 2015 года составил 52,5 млрд. долл. США, который на конец 2015 года, при стоимости нефти 40-45 долларов, прогнозируется в размере 131,0 млрд. долл. США (по данным ЦБ РФ и Минэкономразвития РФ), за I квартал 2015 года в Кыргызской Республике отток капитала вырос на 23,9% и составил 281,0 млн. долл. США).</w:t>
      </w:r>
    </w:p>
    <w:p>
      <w:pPr>
        <w:spacing w:after="60"/>
        <w:ind w:firstLine="567"/>
        <w:jc w:val="both"/>
      </w:pPr>
      <w:r>
        <w:rPr>
          <w:rFonts w:ascii="Arial" w:cs="Arial" w:eastAsia="Arial" w:hAnsi="Arial"/>
          <w:sz w:val="24"/>
          <w:szCs w:val="24"/>
        </w:rPr>
        <w:t xml:space="preserve">На фоне таких условий в мировой экономике продолжается тенденция замедления экономического роста. На 2015 год прогнозы развития мировой экономики пересмотрены в сторону снижения до 3,3%, по сравнению с ранним прогнозом - в 3,8%, незначительно улучшены прогнозы еврозоны - до 1,5% по сравнению с ранним прогнозом в 1,3%. Также на 2015 год были пересмотрены показатели уровня экономического роста и в Российской Федерации, где незначительно улучшен прогноз с (-)3,0% до (-)2,8%, в Республике Казахстан - с 4,7% до 1,9%, Республике Беларусь(8) - с 1,5% до (-)4,2%, Республике Армения(8) - с 3,5% до 0,9%, Китайской Народной Республике - с 7,1% до 6,8%.</w:t>
      </w:r>
    </w:p>
    <w:p>
      <w:pPr>
        <w:spacing w:after="120" w:before="120"/>
        <w:ind w:firstLine="567"/>
        <w:jc w:val="right"/>
      </w:pPr>
      <w:r>
        <w:rPr>
          <w:rFonts w:ascii="Arial" w:cs="Arial" w:eastAsia="Arial" w:hAnsi="Arial"/>
          <w:sz w:val="24"/>
          <w:szCs w:val="24"/>
        </w:rPr>
        <w:t xml:space="preserve">Таблица 6</w:t>
      </w:r>
    </w:p>
    <w:p>
      <w:pPr>
        <w:spacing w:after="200" w:before="200"/>
        <w:jc w:val="center"/>
      </w:pPr>
      <w:r>
        <w:rPr>
          <w:rFonts w:ascii="Arial" w:cs="Arial" w:eastAsia="Arial" w:hAnsi="Arial"/>
          <w:b/>
          <w:bCs/>
          <w:sz w:val="32"/>
          <w:szCs w:val="32"/>
        </w:rPr>
        <w:t xml:space="preserve">Темпы роста мировой экономики государств - членов ЕАЭС, в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49"/>
        <w:gridCol w:w="779"/>
        <w:gridCol w:w="989"/>
        <w:gridCol w:w="1130"/>
        <w:gridCol w:w="1130"/>
        <w:gridCol w:w="1130"/>
        <w:gridCol w:w="1123"/>
        <w:gridCol w:w="1123"/>
        <w:gridCol w:w="1123"/>
      </w:tblGrid>
      <w:tr>
        <w:tc>
          <w:tcPr>
            <w:tcW w:type="dxa" w:w="164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Государства</w:t>
            </w:r>
          </w:p>
        </w:tc>
        <w:tc>
          <w:tcPr>
            <w:tcW w:type="dxa" w:w="77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 год факт</w:t>
            </w:r>
          </w:p>
        </w:tc>
        <w:tc>
          <w:tcPr>
            <w:tcW w:type="dxa" w:w="98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год предв. факт</w:t>
            </w:r>
          </w:p>
        </w:tc>
        <w:tc>
          <w:tcPr>
            <w:tcW w:type="dxa" w:w="339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 прогноз</w:t>
            </w:r>
          </w:p>
        </w:tc>
        <w:tc>
          <w:tcPr>
            <w:tcW w:type="dxa" w:w="112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 прогноз</w:t>
            </w:r>
          </w:p>
        </w:tc>
        <w:tc>
          <w:tcPr>
            <w:tcW w:type="dxa" w:w="112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 прогноз</w:t>
            </w:r>
          </w:p>
        </w:tc>
        <w:tc>
          <w:tcPr>
            <w:tcW w:type="dxa" w:w="112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 прогноз</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в конце 2014 г.</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до </w:t>
            </w:r>
            <w:r>
              <w:rPr>
                <w:rFonts w:ascii="Arial" w:cs="Arial" w:eastAsia="Arial" w:hAnsi="Arial"/>
                <w:b/>
                <w:bCs/>
                <w:sz w:val="24"/>
                <w:szCs w:val="24"/>
              </w:rPr>
              <w:t xml:space="preserve">I</w:t>
            </w:r>
            <w:r>
              <w:rPr>
                <w:rFonts w:ascii="Arial" w:cs="Arial" w:eastAsia="Arial" w:hAnsi="Arial"/>
                <w:b/>
                <w:bCs/>
                <w:sz w:val="24"/>
                <w:szCs w:val="24"/>
              </w:rPr>
              <w:t xml:space="preserve"> кварт. 2015 г.</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в мае-июне 2015 г.</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Мировая экономика</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r>
              <w:rPr>
                <w:rFonts w:ascii="Arial" w:cs="Arial" w:eastAsia="Arial" w:hAnsi="Arial"/>
                <w:sz w:val="24"/>
                <w:szCs w:val="24"/>
              </w:rPr>
              <w:t xml:space="preserve">(</w:t>
            </w:r>
            <w:r>
              <w:rPr>
                <w:rFonts w:ascii="Arial" w:cs="Arial" w:eastAsia="Arial" w:hAnsi="Arial"/>
                <w:sz w:val="24"/>
                <w:szCs w:val="24"/>
              </w:rPr>
              <w:t xml:space="preserve">6</w:t>
            </w:r>
            <w:r>
              <w:rPr>
                <w:rFonts w:ascii="Arial" w:cs="Arial" w:eastAsia="Arial" w:hAnsi="Arial"/>
                <w:sz w:val="24"/>
                <w:szCs w:val="24"/>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r>
              <w:rPr>
                <w:rFonts w:ascii="Arial" w:cs="Arial" w:eastAsia="Arial" w:hAnsi="Arial"/>
                <w:sz w:val="24"/>
                <w:szCs w:val="24"/>
              </w:rPr>
              <w:t xml:space="preserve">(</w:t>
            </w:r>
            <w:r>
              <w:rPr>
                <w:rFonts w:ascii="Arial" w:cs="Arial" w:eastAsia="Arial" w:hAnsi="Arial"/>
                <w:sz w:val="24"/>
                <w:szCs w:val="24"/>
              </w:rPr>
              <w:t xml:space="preserve">7</w:t>
            </w:r>
            <w:r>
              <w:rPr>
                <w:rFonts w:ascii="Arial" w:cs="Arial" w:eastAsia="Arial" w:hAnsi="Arial"/>
                <w:sz w:val="24"/>
                <w:szCs w:val="24"/>
              </w:rPr>
              <w:t xml:space="preserve">)</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r>
      <w:tr>
        <w:tc>
          <w:tcPr>
            <w:tcW w:type="dxa" w:w="1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Еврозона</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r>
              <w:rPr>
                <w:rFonts w:ascii="Arial" w:cs="Arial" w:eastAsia="Arial" w:hAnsi="Arial"/>
                <w:sz w:val="24"/>
                <w:szCs w:val="24"/>
              </w:rPr>
              <w:t xml:space="preserve">(9)</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r>
              <w:rPr>
                <w:rFonts w:ascii="Arial" w:cs="Arial" w:eastAsia="Arial" w:hAnsi="Arial"/>
                <w:sz w:val="24"/>
                <w:szCs w:val="24"/>
              </w:rPr>
              <w:t xml:space="preserve">(10)</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r>
        <w:tc>
          <w:tcPr>
            <w:tcW w:type="dxa" w:w="1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Китайская Народная Республика</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r>
              <w:rPr>
                <w:rFonts w:ascii="Arial" w:cs="Arial" w:eastAsia="Arial" w:hAnsi="Arial"/>
                <w:sz w:val="24"/>
                <w:szCs w:val="24"/>
              </w:rPr>
              <w:t xml:space="preserve">(</w:t>
            </w:r>
            <w:r>
              <w:rPr>
                <w:rFonts w:ascii="Arial" w:cs="Arial" w:eastAsia="Arial" w:hAnsi="Arial"/>
                <w:sz w:val="24"/>
                <w:szCs w:val="24"/>
              </w:rPr>
              <w:t xml:space="preserve">9</w:t>
            </w:r>
            <w:r>
              <w:rPr>
                <w:rFonts w:ascii="Arial" w:cs="Arial" w:eastAsia="Arial" w:hAnsi="Arial"/>
                <w:sz w:val="24"/>
                <w:szCs w:val="24"/>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r>
              <w:rPr>
                <w:rFonts w:ascii="Arial" w:cs="Arial" w:eastAsia="Arial" w:hAnsi="Arial"/>
                <w:sz w:val="24"/>
                <w:szCs w:val="24"/>
              </w:rPr>
              <w:t xml:space="preserve">(</w:t>
            </w:r>
            <w:r>
              <w:rPr>
                <w:rFonts w:ascii="Arial" w:cs="Arial" w:eastAsia="Arial" w:hAnsi="Arial"/>
                <w:sz w:val="24"/>
                <w:szCs w:val="24"/>
              </w:rPr>
              <w:t xml:space="preserve">10</w:t>
            </w:r>
            <w:r>
              <w:rPr>
                <w:rFonts w:ascii="Arial" w:cs="Arial" w:eastAsia="Arial" w:hAnsi="Arial"/>
                <w:sz w:val="24"/>
                <w:szCs w:val="24"/>
              </w:rPr>
              <w:t xml:space="preserve">)</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r>
      <w:tr>
        <w:tc>
          <w:tcPr>
            <w:tcW w:type="dxa" w:w="1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r>
              <w:rPr>
                <w:rFonts w:ascii="Arial" w:cs="Arial" w:eastAsia="Arial" w:hAnsi="Arial"/>
                <w:sz w:val="24"/>
                <w:szCs w:val="24"/>
              </w:rPr>
              <w:t xml:space="preserve">(8)</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r>
              <w:rPr>
                <w:rFonts w:ascii="Arial" w:cs="Arial" w:eastAsia="Arial" w:hAnsi="Arial"/>
                <w:sz w:val="24"/>
                <w:szCs w:val="24"/>
              </w:rPr>
              <w:t xml:space="preserve">(</w:t>
            </w:r>
            <w:r>
              <w:rPr>
                <w:rFonts w:ascii="Arial" w:cs="Arial" w:eastAsia="Arial" w:hAnsi="Arial"/>
                <w:sz w:val="24"/>
                <w:szCs w:val="24"/>
              </w:rPr>
              <w:t xml:space="preserve">9</w:t>
            </w:r>
            <w:r>
              <w:rPr>
                <w:rFonts w:ascii="Arial" w:cs="Arial" w:eastAsia="Arial" w:hAnsi="Arial"/>
                <w:sz w:val="24"/>
                <w:szCs w:val="24"/>
              </w:rPr>
              <w:t xml:space="preserve">)</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r>
      <w:tr>
        <w:tc>
          <w:tcPr>
            <w:tcW w:type="dxa" w:w="1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r>
              <w:rPr>
                <w:rFonts w:ascii="Arial" w:cs="Arial" w:eastAsia="Arial" w:hAnsi="Arial"/>
                <w:sz w:val="24"/>
                <w:szCs w:val="24"/>
              </w:rPr>
              <w:t xml:space="preserve">(</w:t>
            </w:r>
            <w:r>
              <w:rPr>
                <w:rFonts w:ascii="Arial" w:cs="Arial" w:eastAsia="Arial" w:hAnsi="Arial"/>
                <w:sz w:val="24"/>
                <w:szCs w:val="24"/>
              </w:rPr>
              <w:t xml:space="preserve">10</w:t>
            </w:r>
            <w:r>
              <w:rPr>
                <w:rFonts w:ascii="Arial" w:cs="Arial" w:eastAsia="Arial" w:hAnsi="Arial"/>
                <w:sz w:val="24"/>
                <w:szCs w:val="24"/>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r>
              <w:rPr>
                <w:rFonts w:ascii="Arial" w:cs="Arial" w:eastAsia="Arial" w:hAnsi="Arial"/>
                <w:sz w:val="24"/>
                <w:szCs w:val="24"/>
              </w:rPr>
              <w:t xml:space="preserve">(</w:t>
            </w:r>
            <w:r>
              <w:rPr>
                <w:rFonts w:ascii="Arial" w:cs="Arial" w:eastAsia="Arial" w:hAnsi="Arial"/>
                <w:sz w:val="24"/>
                <w:szCs w:val="24"/>
              </w:rPr>
              <w:t xml:space="preserve">12</w:t>
            </w:r>
            <w:r>
              <w:rPr>
                <w:rFonts w:ascii="Arial" w:cs="Arial" w:eastAsia="Arial" w:hAnsi="Arial"/>
                <w:sz w:val="24"/>
                <w:szCs w:val="24"/>
              </w:rPr>
              <w:t xml:space="preserve">)</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r>
              <w:rPr>
                <w:rFonts w:ascii="Arial" w:cs="Arial" w:eastAsia="Arial" w:hAnsi="Arial"/>
                <w:sz w:val="24"/>
                <w:szCs w:val="24"/>
              </w:rPr>
              <w:t xml:space="preserve">(</w:t>
            </w:r>
            <w:r>
              <w:rPr>
                <w:rFonts w:ascii="Arial" w:cs="Arial" w:eastAsia="Arial" w:hAnsi="Arial"/>
                <w:sz w:val="24"/>
                <w:szCs w:val="24"/>
              </w:rPr>
              <w:t xml:space="preserve">12</w:t>
            </w:r>
            <w:r>
              <w:rPr>
                <w:rFonts w:ascii="Arial" w:cs="Arial" w:eastAsia="Arial" w:hAnsi="Arial"/>
                <w:sz w:val="24"/>
                <w:szCs w:val="24"/>
              </w:rPr>
              <w:t xml:space="preserve">)</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r>
              <w:rPr>
                <w:rFonts w:ascii="Arial" w:cs="Arial" w:eastAsia="Arial" w:hAnsi="Arial"/>
                <w:sz w:val="24"/>
                <w:szCs w:val="24"/>
              </w:rPr>
              <w:t xml:space="preserve">(</w:t>
            </w:r>
            <w:r>
              <w:rPr>
                <w:rFonts w:ascii="Arial" w:cs="Arial" w:eastAsia="Arial" w:hAnsi="Arial"/>
                <w:sz w:val="24"/>
                <w:szCs w:val="24"/>
              </w:rPr>
              <w:t xml:space="preserve">12</w:t>
            </w:r>
            <w:r>
              <w:rPr>
                <w:rFonts w:ascii="Arial" w:cs="Arial" w:eastAsia="Arial" w:hAnsi="Arial"/>
                <w:sz w:val="24"/>
                <w:szCs w:val="24"/>
              </w:rPr>
              <w:t xml:space="preserve">)</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r>
      <w:tr>
        <w:tc>
          <w:tcPr>
            <w:tcW w:type="dxa" w:w="1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Беларусь</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0,2-0,7</w:t>
            </w:r>
            <w:r>
              <w:rPr>
                <w:rFonts w:ascii="Arial" w:cs="Arial" w:eastAsia="Arial" w:hAnsi="Arial"/>
                <w:sz w:val="24"/>
                <w:szCs w:val="24"/>
              </w:rPr>
              <w:t xml:space="preserve">(11)</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r>
              <w:rPr>
                <w:rFonts w:ascii="Arial" w:cs="Arial" w:eastAsia="Arial" w:hAnsi="Arial"/>
                <w:sz w:val="24"/>
                <w:szCs w:val="24"/>
              </w:rPr>
              <w:t xml:space="preserve">(12)</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r>
              <w:rPr>
                <w:rFonts w:ascii="Arial" w:cs="Arial" w:eastAsia="Arial" w:hAnsi="Arial"/>
                <w:sz w:val="24"/>
                <w:szCs w:val="24"/>
              </w:rPr>
              <w:t xml:space="preserve">(</w:t>
            </w:r>
            <w:r>
              <w:rPr>
                <w:rFonts w:ascii="Arial" w:cs="Arial" w:eastAsia="Arial" w:hAnsi="Arial"/>
                <w:sz w:val="24"/>
                <w:szCs w:val="24"/>
              </w:rPr>
              <w:t xml:space="preserve">12</w:t>
            </w:r>
            <w:r>
              <w:rPr>
                <w:rFonts w:ascii="Arial" w:cs="Arial" w:eastAsia="Arial" w:hAnsi="Arial"/>
                <w:sz w:val="24"/>
                <w:szCs w:val="24"/>
              </w:rPr>
              <w:t xml:space="preserve">)</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r>
              <w:rPr>
                <w:rFonts w:ascii="Arial" w:cs="Arial" w:eastAsia="Arial" w:hAnsi="Arial"/>
                <w:sz w:val="24"/>
                <w:szCs w:val="24"/>
              </w:rPr>
              <w:t xml:space="preserve">(</w:t>
            </w:r>
            <w:r>
              <w:rPr>
                <w:rFonts w:ascii="Arial" w:cs="Arial" w:eastAsia="Arial" w:hAnsi="Arial"/>
                <w:sz w:val="24"/>
                <w:szCs w:val="24"/>
              </w:rPr>
              <w:t xml:space="preserve">12</w:t>
            </w:r>
            <w:r>
              <w:rPr>
                <w:rFonts w:ascii="Arial" w:cs="Arial" w:eastAsia="Arial" w:hAnsi="Arial"/>
                <w:sz w:val="24"/>
                <w:szCs w:val="24"/>
              </w:rPr>
              <w:t xml:space="preserve">)</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r>
      <w:tr>
        <w:tc>
          <w:tcPr>
            <w:tcW w:type="dxa" w:w="1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Армения</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-0,98</w:t>
            </w:r>
            <w:r>
              <w:rPr>
                <w:rFonts w:ascii="Arial" w:cs="Arial" w:eastAsia="Arial" w:hAnsi="Arial"/>
                <w:sz w:val="24"/>
                <w:szCs w:val="24"/>
              </w:rPr>
              <w:t xml:space="preserve">(</w:t>
            </w:r>
            <w:r>
              <w:rPr>
                <w:rFonts w:ascii="Arial" w:cs="Arial" w:eastAsia="Arial" w:hAnsi="Arial"/>
                <w:sz w:val="24"/>
                <w:szCs w:val="24"/>
              </w:rPr>
              <w:t xml:space="preserve">9</w:t>
            </w:r>
            <w:r>
              <w:rPr>
                <w:rFonts w:ascii="Arial" w:cs="Arial" w:eastAsia="Arial" w:hAnsi="Arial"/>
                <w:sz w:val="24"/>
                <w:szCs w:val="24"/>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r>
              <w:rPr>
                <w:rFonts w:ascii="Arial" w:cs="Arial" w:eastAsia="Arial" w:hAnsi="Arial"/>
                <w:sz w:val="24"/>
                <w:szCs w:val="24"/>
              </w:rPr>
              <w:t xml:space="preserve">(</w:t>
            </w:r>
            <w:r>
              <w:rPr>
                <w:rFonts w:ascii="Arial" w:cs="Arial" w:eastAsia="Arial" w:hAnsi="Arial"/>
                <w:sz w:val="24"/>
                <w:szCs w:val="24"/>
              </w:rPr>
              <w:t xml:space="preserve">12</w:t>
            </w:r>
            <w:r>
              <w:rPr>
                <w:rFonts w:ascii="Arial" w:cs="Arial" w:eastAsia="Arial" w:hAnsi="Arial"/>
                <w:sz w:val="24"/>
                <w:szCs w:val="24"/>
              </w:rPr>
              <w:t xml:space="preserve">)</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r>
              <w:rPr>
                <w:rFonts w:ascii="Arial" w:cs="Arial" w:eastAsia="Arial" w:hAnsi="Arial"/>
                <w:sz w:val="24"/>
                <w:szCs w:val="24"/>
              </w:rPr>
              <w:t xml:space="preserve">(1</w:t>
            </w:r>
            <w:r>
              <w:rPr>
                <w:rFonts w:ascii="Arial" w:cs="Arial" w:eastAsia="Arial" w:hAnsi="Arial"/>
                <w:sz w:val="24"/>
                <w:szCs w:val="24"/>
              </w:rPr>
              <w:t xml:space="preserve">2</w:t>
            </w:r>
            <w:r>
              <w:rPr>
                <w:rFonts w:ascii="Arial" w:cs="Arial" w:eastAsia="Arial" w:hAnsi="Arial"/>
                <w:sz w:val="24"/>
                <w:szCs w:val="24"/>
              </w:rPr>
              <w:t xml:space="preserve">)</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r>
              <w:rPr>
                <w:rFonts w:ascii="Arial" w:cs="Arial" w:eastAsia="Arial" w:hAnsi="Arial"/>
                <w:sz w:val="24"/>
                <w:szCs w:val="24"/>
              </w:rPr>
              <w:t xml:space="preserve">(</w:t>
            </w:r>
            <w:r>
              <w:rPr>
                <w:rFonts w:ascii="Arial" w:cs="Arial" w:eastAsia="Arial" w:hAnsi="Arial"/>
                <w:sz w:val="24"/>
                <w:szCs w:val="24"/>
              </w:rPr>
              <w:t xml:space="preserve">12</w:t>
            </w:r>
            <w:r>
              <w:rPr>
                <w:rFonts w:ascii="Arial" w:cs="Arial" w:eastAsia="Arial" w:hAnsi="Arial"/>
                <w:sz w:val="24"/>
                <w:szCs w:val="24"/>
              </w:rPr>
              <w:t xml:space="preserve">)</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bl>
    <w:p>
      <w:pPr>
        <w:spacing w:after="60" w:before="120"/>
        <w:ind w:firstLine="567"/>
        <w:jc w:val="both"/>
      </w:pPr>
      <w:r>
        <w:rPr>
          <w:rFonts w:ascii="Arial" w:cs="Arial" w:eastAsia="Arial" w:hAnsi="Arial"/>
          <w:sz w:val="24"/>
          <w:szCs w:val="24"/>
        </w:rPr>
        <w:t xml:space="preserve">8 мая 2015 года в городе Москва на заседании Высшего Евразийского экономического совета главами государств - членов ЕАЭС и Кыргызской Республики подписаны два важных протокола: Протокол о внесении изменений в Договор о Евразийском экономическом союзе от 29 мая 2014 года и отдельные международные договоры, входящие в право Евразийского экономического союза, в связи с присоединением Кыргызской Республики к Договору о Евразийском экономическом союзе от 29 мая 2014 года, и Протокол об условиях и переходных положениях по применению Кыргызской Республикой Договора о Евразийском экономическом союзе от 29 мая 2014 года, отдельных международных договоров, входящих в право Евразийского экономического союза, и актов органов ЕАЭС, в связи с присоединением Кыргызской Республики к Договору о Евразийском экономическом союзе от 29 мая 2014 года. 12 августа 2015 года, после завершения всех процедур (ратификация Договора государствами - членами ЕАЭС, открытие границ), Кыргызская Республика стала полноправным членом организации. Однако, учитывая, что, адаптация субъектов экономической деятельности к новым условиям ЕАЭС, приведение в соответствие системы оценки качества требует времени (ожидается к концу 2015 года), то пик влияния условий ЕАЭС предполагается наибольшим в 2016 году, со снижением в последующие годы.</w:t>
      </w:r>
    </w:p>
    <w:p>
      <w:pPr>
        <w:spacing w:after="60"/>
        <w:ind w:firstLine="567"/>
        <w:jc w:val="both"/>
      </w:pPr>
      <w:r>
        <w:rPr>
          <w:rFonts w:ascii="Arial" w:cs="Arial" w:eastAsia="Arial" w:hAnsi="Arial"/>
          <w:sz w:val="24"/>
          <w:szCs w:val="24"/>
        </w:rPr>
        <w:t xml:space="preserve">Для республики это новая ступень экономической интеграции. Перед страной открываются новые горизонты и вызовы для отечественных сельскохозяйственных производителей, пищевых и перерабатывающих предприятий, бизнеса, предпосылки для повышения уровня деловой активности в экономике.</w:t>
      </w:r>
    </w:p>
    <w:p>
      <w:pPr>
        <w:spacing w:after="60"/>
        <w:ind w:firstLine="567"/>
        <w:jc w:val="both"/>
      </w:pPr>
      <w:r>
        <w:rPr>
          <w:rFonts w:ascii="Arial" w:cs="Arial" w:eastAsia="Arial" w:hAnsi="Arial"/>
          <w:sz w:val="24"/>
          <w:szCs w:val="24"/>
        </w:rPr>
        <w:t xml:space="preserve">Основные преимущества присоединения Кыргызской Республики к ЕАЭС:</w:t>
      </w:r>
    </w:p>
    <w:p>
      <w:pPr>
        <w:spacing w:after="60"/>
        <w:ind w:firstLine="567"/>
        <w:jc w:val="both"/>
      </w:pPr>
      <w:r>
        <w:rPr>
          <w:rFonts w:ascii="Arial" w:cs="Arial" w:eastAsia="Arial" w:hAnsi="Arial"/>
          <w:sz w:val="24"/>
          <w:szCs w:val="24"/>
        </w:rPr>
        <w:t xml:space="preserve">- рост объемов инвестиций, для инвесторов открывается рынок без пошлин и барьеров;</w:t>
      </w:r>
    </w:p>
    <w:p>
      <w:pPr>
        <w:spacing w:after="60"/>
        <w:ind w:firstLine="567"/>
        <w:jc w:val="both"/>
      </w:pPr>
      <w:r>
        <w:rPr>
          <w:rFonts w:ascii="Arial" w:cs="Arial" w:eastAsia="Arial" w:hAnsi="Arial"/>
          <w:sz w:val="24"/>
          <w:szCs w:val="24"/>
        </w:rPr>
        <w:t xml:space="preserve">- развитие приграничной торговли, сдерживаемой ранее наличием таможенного контроля, будет способствовать созданию новых рабочих мест, увеличению денежных доходов населения, улучшению транспортной, жилищной, социальной инфраструктуры на местах;</w:t>
      </w:r>
    </w:p>
    <w:p>
      <w:pPr>
        <w:spacing w:after="60"/>
        <w:ind w:firstLine="567"/>
        <w:jc w:val="both"/>
      </w:pPr>
      <w:r>
        <w:rPr>
          <w:rFonts w:ascii="Arial" w:cs="Arial" w:eastAsia="Arial" w:hAnsi="Arial"/>
          <w:sz w:val="24"/>
          <w:szCs w:val="24"/>
        </w:rPr>
        <w:t xml:space="preserve">- приведение правил таможенного администрирования в соответствие с нормами ЕАЭС, с применением таможенного оформления по стоимости товаров, а не по его весу, может дать существенное повышение поступлений;</w:t>
      </w:r>
    </w:p>
    <w:p>
      <w:pPr>
        <w:spacing w:after="60"/>
        <w:ind w:firstLine="567"/>
        <w:jc w:val="both"/>
      </w:pPr>
      <w:r>
        <w:rPr>
          <w:rFonts w:ascii="Arial" w:cs="Arial" w:eastAsia="Arial" w:hAnsi="Arial"/>
          <w:sz w:val="24"/>
          <w:szCs w:val="24"/>
        </w:rPr>
        <w:t xml:space="preserve">- стимулирование производственного сектора - расширится рынок швейного производства и пищепереработки; появится интерес у инвесторов к открытию производств на территории Кыргызской Республики в связи с расширением рынка сбыта (Республика Казахстан, Российская Федерация, Республика Армения, Республика Беларусь);</w:t>
      </w:r>
    </w:p>
    <w:p>
      <w:pPr>
        <w:spacing w:after="60"/>
        <w:ind w:firstLine="567"/>
        <w:jc w:val="both"/>
      </w:pPr>
      <w:r>
        <w:rPr>
          <w:rFonts w:ascii="Arial" w:cs="Arial" w:eastAsia="Arial" w:hAnsi="Arial"/>
          <w:sz w:val="24"/>
          <w:szCs w:val="24"/>
        </w:rPr>
        <w:t xml:space="preserve">- широкий доступ к поставке минеральных удобрений, сельскохозяйственных машин, средств защиты растений и высокопродуктивных семян из России, Казахстана и Беларуси, внедрение новой технологии и техники; расширение возможности создания совместных предприятий по выпуску сельскохозяйственной техники и удобрений;</w:t>
      </w:r>
    </w:p>
    <w:p>
      <w:pPr>
        <w:spacing w:after="60"/>
        <w:ind w:firstLine="567"/>
        <w:jc w:val="both"/>
      </w:pPr>
      <w:r>
        <w:rPr>
          <w:rFonts w:ascii="Arial" w:cs="Arial" w:eastAsia="Arial" w:hAnsi="Arial"/>
          <w:sz w:val="24"/>
          <w:szCs w:val="24"/>
        </w:rPr>
        <w:t xml:space="preserve">- свободное передвижение труда и капитала.</w:t>
      </w:r>
    </w:p>
    <w:p>
      <w:pPr>
        <w:spacing w:after="60"/>
        <w:ind w:firstLine="567"/>
        <w:jc w:val="both"/>
      </w:pPr>
      <w:r>
        <w:rPr>
          <w:rFonts w:ascii="Arial" w:cs="Arial" w:eastAsia="Arial" w:hAnsi="Arial"/>
          <w:sz w:val="24"/>
          <w:szCs w:val="24"/>
        </w:rPr>
        <w:t xml:space="preserve">Основные риски:</w:t>
      </w:r>
    </w:p>
    <w:p>
      <w:pPr>
        <w:spacing w:after="60"/>
        <w:ind w:firstLine="567"/>
        <w:jc w:val="both"/>
      </w:pPr>
      <w:r>
        <w:rPr>
          <w:rFonts w:ascii="Arial" w:cs="Arial" w:eastAsia="Arial" w:hAnsi="Arial"/>
          <w:sz w:val="24"/>
          <w:szCs w:val="24"/>
        </w:rPr>
        <w:t xml:space="preserve">- сужение потребительского спроса за счет снижение темпов экономического роста в странах - основных торговых партнерах;</w:t>
      </w:r>
    </w:p>
    <w:p>
      <w:pPr>
        <w:spacing w:after="60"/>
        <w:ind w:firstLine="567"/>
        <w:jc w:val="both"/>
      </w:pPr>
      <w:r>
        <w:rPr>
          <w:rFonts w:ascii="Arial" w:cs="Arial" w:eastAsia="Arial" w:hAnsi="Arial"/>
          <w:sz w:val="24"/>
          <w:szCs w:val="24"/>
        </w:rPr>
        <w:t xml:space="preserve">- рост издержек производства и сокращение конкурентоспособности секторов экономики с высоким удельным весом импортируемых материалов из-за повышения пошлин, слабой инфраструктуры качества и выполнения новых требований техрегламентов ЕАЭС (с другой стороны - рост конкуренции подстегнет и заставит кыргызских предпринимателей улучшить свои бизнес-процессы);</w:t>
      </w:r>
    </w:p>
    <w:p>
      <w:pPr>
        <w:spacing w:after="60"/>
        <w:ind w:firstLine="567"/>
        <w:jc w:val="both"/>
      </w:pPr>
      <w:r>
        <w:rPr>
          <w:rFonts w:ascii="Arial" w:cs="Arial" w:eastAsia="Arial" w:hAnsi="Arial"/>
          <w:sz w:val="24"/>
          <w:szCs w:val="24"/>
        </w:rPr>
        <w:t xml:space="preserve">- сокращение денежных переводов, в свою очередь, приведет к снижению объемов валовой продукции строительства, услуг;</w:t>
      </w:r>
    </w:p>
    <w:p>
      <w:pPr>
        <w:spacing w:after="60"/>
        <w:ind w:firstLine="567"/>
        <w:jc w:val="both"/>
      </w:pPr>
      <w:r>
        <w:rPr>
          <w:rFonts w:ascii="Arial" w:cs="Arial" w:eastAsia="Arial" w:hAnsi="Arial"/>
          <w:sz w:val="24"/>
          <w:szCs w:val="24"/>
        </w:rPr>
        <w:t xml:space="preserve">- снижение объемов торговли за счет изменения условий (принятие единого таможенного тарифа (без изъятий), отмена упрощенного режима таможенного оформления, принятие технических регламентов ЕАЭС, более строгих правил подтверждения соответствия);</w:t>
      </w:r>
    </w:p>
    <w:p>
      <w:pPr>
        <w:spacing w:after="60"/>
        <w:ind w:firstLine="567"/>
        <w:jc w:val="both"/>
      </w:pPr>
      <w:r>
        <w:rPr>
          <w:rFonts w:ascii="Arial" w:cs="Arial" w:eastAsia="Arial" w:hAnsi="Arial"/>
          <w:sz w:val="24"/>
          <w:szCs w:val="24"/>
        </w:rPr>
        <w:t xml:space="preserve">- сохранение или медленное преодоление барьеров в приграничной и внешней торговле; рост конкуренции на внутреннем рынке со стороны иностранных производителей;</w:t>
      </w:r>
    </w:p>
    <w:p>
      <w:pPr>
        <w:spacing w:after="60"/>
        <w:ind w:firstLine="567"/>
        <w:jc w:val="both"/>
      </w:pPr>
      <w:r>
        <w:rPr>
          <w:rFonts w:ascii="Arial" w:cs="Arial" w:eastAsia="Arial" w:hAnsi="Arial"/>
          <w:sz w:val="24"/>
          <w:szCs w:val="24"/>
        </w:rPr>
        <w:t xml:space="preserve">- рост издержек для экспортеров, а в ряде случаев - невозможность осуществления экспорта из-за того, что принятая в ЕАЭС система технического регулирования предъявляет более жесткие требования к производителям и продукции (затяжной процесс проведения модернизации испытательных лабораторий, приведение в соответствие с требованиями ЕАЭС санитарно-карантинного, ветеринарного и фитосанитарного контроля в пунктах пропуска и осуществление других мер по улучшению системы технического регулирования);</w:t>
      </w:r>
    </w:p>
    <w:p>
      <w:pPr>
        <w:spacing w:after="60"/>
        <w:ind w:firstLine="567"/>
        <w:jc w:val="both"/>
      </w:pPr>
      <w:r>
        <w:rPr>
          <w:rFonts w:ascii="Arial" w:cs="Arial" w:eastAsia="Arial" w:hAnsi="Arial"/>
          <w:sz w:val="24"/>
          <w:szCs w:val="24"/>
        </w:rPr>
        <w:t xml:space="preserve">- прекращение поставок некоторых товаров в Кыргызскую Республику из-за роста таможенных пошлин, снижение товарооборота со странами, не входящими в ЕАЭС;</w:t>
      </w:r>
    </w:p>
    <w:p>
      <w:pPr>
        <w:spacing w:after="60"/>
        <w:ind w:firstLine="567"/>
        <w:jc w:val="both"/>
      </w:pPr>
      <w:r>
        <w:rPr>
          <w:rFonts w:ascii="Arial" w:cs="Arial" w:eastAsia="Arial" w:hAnsi="Arial"/>
          <w:sz w:val="24"/>
          <w:szCs w:val="24"/>
        </w:rPr>
        <w:t xml:space="preserve">- существенное сокращение реэкспорта китайских товаров, соответственно, уменьшение занятости в оптовой торговле;</w:t>
      </w:r>
    </w:p>
    <w:p>
      <w:pPr>
        <w:spacing w:after="60"/>
        <w:ind w:firstLine="567"/>
        <w:jc w:val="both"/>
      </w:pPr>
      <w:r>
        <w:rPr>
          <w:rFonts w:ascii="Arial" w:cs="Arial" w:eastAsia="Arial" w:hAnsi="Arial"/>
          <w:sz w:val="24"/>
          <w:szCs w:val="24"/>
        </w:rPr>
        <w:t xml:space="preserve">- отток определенных видов сельскохозяйственных продуктов отечественного производства в страны-члены ЕАЭС, что, соответственно, приведет к повышению уровня цен на эти продукты;</w:t>
      </w:r>
    </w:p>
    <w:p>
      <w:pPr>
        <w:spacing w:after="60"/>
        <w:ind w:firstLine="567"/>
        <w:jc w:val="both"/>
      </w:pPr>
      <w:r>
        <w:rPr>
          <w:rFonts w:ascii="Arial" w:cs="Arial" w:eastAsia="Arial" w:hAnsi="Arial"/>
          <w:sz w:val="24"/>
          <w:szCs w:val="24"/>
        </w:rPr>
        <w:t xml:space="preserve">- выравнивание цен на товары и услуги с ценами стран - членов ЕАЭС и рост цен внутри страны, соответственно, падение доходов населения, что создаст социальную напряженность в стране;</w:t>
      </w:r>
    </w:p>
    <w:p>
      <w:pPr>
        <w:spacing w:after="60"/>
        <w:ind w:firstLine="567"/>
        <w:jc w:val="both"/>
      </w:pPr>
      <w:r>
        <w:rPr>
          <w:rFonts w:ascii="Arial" w:cs="Arial" w:eastAsia="Arial" w:hAnsi="Arial"/>
          <w:sz w:val="24"/>
          <w:szCs w:val="24"/>
        </w:rPr>
        <w:t xml:space="preserve">- отток квалифицированной рабочей силы с отечественного рынка;</w:t>
      </w:r>
    </w:p>
    <w:p>
      <w:pPr>
        <w:spacing w:after="60"/>
        <w:ind w:firstLine="567"/>
        <w:jc w:val="both"/>
      </w:pPr>
      <w:r>
        <w:rPr>
          <w:rFonts w:ascii="Arial" w:cs="Arial" w:eastAsia="Arial" w:hAnsi="Arial"/>
          <w:sz w:val="24"/>
          <w:szCs w:val="24"/>
        </w:rPr>
        <w:t xml:space="preserve">- давление на бюджет государства за счет снижения объемов производства в секторах экономики, снижение поступлений от крупных оптовых рынков "Дордой", "Карасуу" и "Мадина", от предпринимателей, занятых в челночной торговле;</w:t>
      </w:r>
    </w:p>
    <w:p>
      <w:pPr>
        <w:spacing w:after="60"/>
        <w:ind w:firstLine="567"/>
        <w:jc w:val="both"/>
      </w:pPr>
      <w:r>
        <w:rPr>
          <w:rFonts w:ascii="Arial" w:cs="Arial" w:eastAsia="Arial" w:hAnsi="Arial"/>
          <w:sz w:val="24"/>
          <w:szCs w:val="24"/>
        </w:rPr>
        <w:t xml:space="preserve">- увеличение долгосрочных займов для покрытия дефицита, увеличение государственного долга;</w:t>
      </w:r>
    </w:p>
    <w:p>
      <w:pPr>
        <w:spacing w:after="60"/>
        <w:ind w:firstLine="567"/>
        <w:jc w:val="both"/>
      </w:pPr>
      <w:r>
        <w:rPr>
          <w:rFonts w:ascii="Arial" w:cs="Arial" w:eastAsia="Arial" w:hAnsi="Arial"/>
          <w:sz w:val="24"/>
          <w:szCs w:val="24"/>
        </w:rPr>
        <w:t xml:space="preserve">- колебания курса национальной валюты;</w:t>
      </w:r>
    </w:p>
    <w:p>
      <w:pPr>
        <w:spacing w:after="60"/>
        <w:ind w:firstLine="567"/>
        <w:jc w:val="both"/>
      </w:pPr>
      <w:r>
        <w:rPr>
          <w:rFonts w:ascii="Arial" w:cs="Arial" w:eastAsia="Arial" w:hAnsi="Arial"/>
          <w:sz w:val="24"/>
          <w:szCs w:val="24"/>
        </w:rPr>
        <w:t xml:space="preserve">- затяжной период адаптации, вследствие которого будет создан относительно работоспособный набор документов, принципов и стандартов, позволяющих наиболее эффективно решать поставленные перед ЕАЭС задачи (данный период может занять примерно 3-4 года), что окажет отрицательное влияние на процесс расширения производства и экспорта на рынок ЕАЭС.</w:t>
      </w:r>
    </w:p>
    <w:p>
      <w:pPr>
        <w:spacing w:after="60"/>
        <w:ind w:firstLine="567"/>
        <w:jc w:val="both"/>
      </w:pPr>
      <w:r>
        <w:rPr>
          <w:rFonts w:ascii="Arial" w:cs="Arial" w:eastAsia="Arial" w:hAnsi="Arial"/>
          <w:sz w:val="24"/>
          <w:szCs w:val="24"/>
        </w:rPr>
        <w:t xml:space="preserve">В 2015-2016 годах в рамках ЕАЭС будет реализовываться комплекс мер, направленных на стимулирование сельскохозяйственного развития, углубление сотрудничества в реальном секторе и улучшение делового климата.</w:t>
      </w:r>
    </w:p>
    <w:p>
      <w:pPr>
        <w:spacing w:after="60"/>
        <w:ind w:firstLine="567"/>
        <w:jc w:val="both"/>
      </w:pPr>
      <w:r>
        <w:rPr>
          <w:rFonts w:ascii="Arial" w:cs="Arial" w:eastAsia="Arial" w:hAnsi="Arial"/>
          <w:sz w:val="24"/>
          <w:szCs w:val="24"/>
        </w:rPr>
        <w:t xml:space="preserve">После завершения переходного периода, оформления правил ведения бизнеса в новых условиях ожидается повышение инвестиционной привлекательности.</w:t>
      </w:r>
    </w:p>
    <w:p>
      <w:pPr>
        <w:spacing w:after="60"/>
        <w:ind w:firstLine="567"/>
        <w:jc w:val="both"/>
      </w:pPr>
      <w:r>
        <w:rPr>
          <w:rFonts w:ascii="Arial" w:cs="Arial" w:eastAsia="Arial" w:hAnsi="Arial"/>
          <w:sz w:val="24"/>
          <w:szCs w:val="24"/>
        </w:rPr>
        <w:t xml:space="preserve">Изменение условий осуществления торговой деятельности будет иметь прямое влияние на сферу услуг (доля в структуре ВВП составляет около 48%). Наибольший удельный вес среди отраслей экономики, оказывающих услуги, имеют торговля и рынок коммуникаций, суммарная доля которых составляет порядка 53%. И именно эти отрасли в наибольшей степени будут испытывать влияние последствий вступления Кыргызской Республики в ЕАЭС.</w:t>
      </w:r>
    </w:p>
    <w:p>
      <w:pPr>
        <w:spacing w:after="60"/>
        <w:ind w:firstLine="567"/>
        <w:jc w:val="both"/>
      </w:pPr>
      <w:r>
        <w:rPr>
          <w:rFonts w:ascii="Arial" w:cs="Arial" w:eastAsia="Arial" w:hAnsi="Arial"/>
          <w:sz w:val="24"/>
          <w:szCs w:val="24"/>
        </w:rPr>
        <w:t xml:space="preserve">Увеличение размеров таможенных ставок на импортную продукцию приведет к увеличению себестоимости товаров, ввозимых из третьих стран, что скажется на покупательской способности населения и приведет к тому, что внутренняя торговля товарами (оборот розничной торговли) уже не будет развиваться такими быстрыми темпами, как в предыдущие годы. Оптовая торговля также будет испытывать понижательное давление как со стороны сокращения внутреннего спроса, так и со стороны снижения спроса стран - основных торговых партнеров. Такая динамика развития будет обусловлена удорожанием себестоимости импортных товаров из Китая, Турции и других стран, которые реэкспортировались на рынки Республики Казахстан и Российской Федерации. Меры государственной политики по поддержке отраслей экономики, в том числе создание транспортных торгово-логистических центров позволит сохранить положительную динамику роста оптовой торговли, однако в первые годы членства в ЕАЭС темпы роста торговли будут менее динамичными.</w:t>
      </w:r>
    </w:p>
    <w:p>
      <w:pPr>
        <w:spacing w:after="60"/>
        <w:ind w:firstLine="567"/>
        <w:jc w:val="both"/>
      </w:pPr>
      <w:r>
        <w:rPr>
          <w:rFonts w:ascii="Arial" w:cs="Arial" w:eastAsia="Arial" w:hAnsi="Arial"/>
          <w:sz w:val="24"/>
          <w:szCs w:val="24"/>
        </w:rPr>
        <w:t xml:space="preserve">Отмена таможенных границ между государствами - членами ЕАЭС позволит упростить процедуру пересечения государственной границы гражданам России и Казахстана, что положительно скажется как на осуществлении торговли на приграничных территориях, так и на развитии туризма в стране. Ожидается, что с упрощением порядка пересечения границы увеличится поток туристов из стран - членов ЕАЭС, что окажет положительное влияние на рост отраслей экономики в сфере туризма.</w:t>
      </w:r>
    </w:p>
    <w:p>
      <w:pPr>
        <w:spacing w:after="60"/>
        <w:ind w:firstLine="567"/>
        <w:jc w:val="both"/>
      </w:pPr>
      <w:r>
        <w:rPr>
          <w:rFonts w:ascii="Arial" w:cs="Arial" w:eastAsia="Arial" w:hAnsi="Arial"/>
          <w:sz w:val="24"/>
          <w:szCs w:val="24"/>
        </w:rPr>
        <w:t xml:space="preserve">Поскольку одной из важных составляющих условий вступления республики в ЕАЭС является принятие Единого таможенного тарифа, то принятие этих условий несет определенные изменения во внешней торговле Кыргызской Республики. Кыргызская Республика импортирует около половины импортируемых товаров из государств - членов ЕАЭС, поэтому изменения потоков данной категории товаров не коснутся.</w:t>
      </w:r>
    </w:p>
    <w:p>
      <w:pPr>
        <w:spacing w:after="60"/>
        <w:ind w:firstLine="567"/>
        <w:jc w:val="both"/>
      </w:pPr>
      <w:r>
        <w:rPr>
          <w:rFonts w:ascii="Arial" w:cs="Arial" w:eastAsia="Arial" w:hAnsi="Arial"/>
          <w:sz w:val="24"/>
          <w:szCs w:val="24"/>
        </w:rPr>
        <w:t xml:space="preserve">Однако Кыргызская Республика импортирует из Китайской Народной Республики около одной пятой части импортируемых товаров, которые в основном представлены потребительскими, промежуточными и инвестиционными товарами, остальные 30% импортируются из других стран. Вхождение в интеграционные экономические союзы влечет за собой переориентацию экономических потоков, поэтому применение единого таможенного тарифа для импортируемых товаров из государств, не являющихся членами ЕАЭС, приведет к незначительному увеличению объема внешней торговли со странами - членами ЕАЭС и сокращению доли других стран. Структура импорта Кыргызской Республики специфична, и подавляющая часть группы товаров импортируется из определенной страны или группы стран и не имеет субститутов, которые можно было бы импортировать из стран - членов ЕАЭС. Поэтому структура импорта значительных изменений не претерпит, однако изменение условий торговли, в том числе увеличение таможенных тарифов и отмена упрощенного режима таможенного оформления приведут к росту цен на импортные товары. Увеличение себестоимости товаров, в свою очередь, будет негативно влиять на потребительский спрос населения на данные товары, и поэтому ожидается, что в период адаптации к новым условиям ведения торговли, импорт в реальном выражении будет снижаться, однако в номинальном выражении ожидается увеличение объемов.</w:t>
      </w:r>
    </w:p>
    <w:p>
      <w:pPr>
        <w:spacing w:after="60"/>
        <w:ind w:firstLine="567"/>
        <w:jc w:val="both"/>
      </w:pPr>
      <w:r>
        <w:rPr>
          <w:rFonts w:ascii="Arial" w:cs="Arial" w:eastAsia="Arial" w:hAnsi="Arial"/>
          <w:sz w:val="24"/>
          <w:szCs w:val="24"/>
        </w:rPr>
        <w:t xml:space="preserve">Снятие таможенных границ между государствами - членами ЕАЭС будет способствовать облегчению процедур экспорта отечественных товаров на рынки стран - членов ЕАЭС, и данный фактор станет стимулом отечественных производителей к наращиванию внутреннего производства. Однако стоимость части промежуточных товаров, импортируемых из других стран, подорожает из-за применения более высоких тарифов, и конкурентоспособность отечественных товаропроизводителей снизится. Вместе с тем имеются определенные риски, связанные с нетарифными барьерами для торговли, решение которых на начальном этапе также будет сдерживать экспортный потенциал страны. Поэтому на начальных этапах интеграции в ЕАЭС объем экспорта товаров из Кыргызской Республики будет иметь ограниченный рост.</w:t>
      </w:r>
    </w:p>
    <w:p>
      <w:pPr>
        <w:spacing w:after="60"/>
        <w:ind w:firstLine="567"/>
        <w:jc w:val="both"/>
      </w:pPr>
      <w:r>
        <w:rPr>
          <w:rFonts w:ascii="Arial" w:cs="Arial" w:eastAsia="Arial" w:hAnsi="Arial"/>
          <w:sz w:val="24"/>
          <w:szCs w:val="24"/>
        </w:rPr>
        <w:t xml:space="preserve">На фоне вышеуказанных событий в основу оценок заложены как внешние, так и внутренние факторы, которые будут оказывать положительное и отрицательное влияние на развитие экономики страны в 2015 году и в среднесрочном периоде.</w:t>
      </w:r>
    </w:p>
    <w:p>
      <w:pPr>
        <w:spacing w:after="60"/>
        <w:ind w:firstLine="567"/>
        <w:jc w:val="both"/>
      </w:pPr>
      <w:r>
        <w:rPr>
          <w:rFonts w:ascii="Arial" w:cs="Arial" w:eastAsia="Arial" w:hAnsi="Arial"/>
          <w:sz w:val="24"/>
          <w:szCs w:val="24"/>
        </w:rPr>
        <w:t xml:space="preserve">В этих условиях главной целью экономической политики на среднесрочный период будет сохранение макроэкономической стабильности. В целях минимизации негативных влияний и безболезненной адаптации экономики к новым условиям создан оперативный штаб по вопросам вступления страны в ЕАЭС для оперативного решения всех вопросов, которые возникают на пути евразийской интеграции Кыргызской Республики.</w:t>
      </w:r>
    </w:p>
    <w:p>
      <w:pPr>
        <w:spacing w:after="200" w:before="200"/>
        <w:jc w:val="center"/>
      </w:pPr>
      <w:r>
        <w:rPr>
          <w:rFonts w:ascii="Arial" w:cs="Arial" w:eastAsia="Arial" w:hAnsi="Arial"/>
          <w:b/>
          <w:bCs/>
          <w:sz w:val="32"/>
          <w:szCs w:val="32"/>
        </w:rPr>
        <w:t xml:space="preserve">IV. Макроэкономические показатели, ожидаемые в 2015 году</w:t>
      </w:r>
    </w:p>
    <w:p>
      <w:pPr>
        <w:spacing w:after="60"/>
        <w:ind w:firstLine="567"/>
        <w:jc w:val="both"/>
      </w:pPr>
      <w:r>
        <w:rPr>
          <w:rFonts w:ascii="Arial" w:cs="Arial" w:eastAsia="Arial" w:hAnsi="Arial"/>
          <w:sz w:val="24"/>
          <w:szCs w:val="24"/>
        </w:rPr>
        <w:t xml:space="preserve">В 2015 году экономическое развитие страны будет складываться на основе ориентиров, которые заложены в Национальной стратегии устойчивого развития Кыргызской Республики на период 2013-2017 годы, утвержденной Указом Президента Кыргызской Республики от 21 января 2013 года № 11 (далее - НСУР), и в условиях вхождения Кыргызской Республики в ЕАЭС.</w:t>
      </w:r>
    </w:p>
    <w:p>
      <w:pPr>
        <w:spacing w:after="60"/>
        <w:ind w:firstLine="567"/>
        <w:jc w:val="both"/>
      </w:pPr>
      <w:r>
        <w:rPr>
          <w:rFonts w:ascii="Arial" w:cs="Arial" w:eastAsia="Arial" w:hAnsi="Arial"/>
          <w:sz w:val="24"/>
          <w:szCs w:val="24"/>
        </w:rPr>
        <w:t xml:space="preserve">Главной целью экономической политики будет сохранение макроэкономической стабильности и закрепление положительной динамики экономического роста во всех секторах экономики, для достижения которых будет активно реализовываться План мероприятий Правительства на 2015 год по укреплению национальной экономики (постановление Правительства от 20 февраля 2015 года № 78). В данный План вошли антикризисные мероприятия, мероприятия по укреплению национальной экономики, направленные на улучшение бизнес-среды, привлечение инвестиций в экономику, продвижение национальных интересов в рамках ЕАЭС, развитие стратегических отраслей экономики, развитие регионов.</w:t>
      </w:r>
    </w:p>
    <w:p>
      <w:pPr>
        <w:spacing w:after="60"/>
        <w:ind w:firstLine="567"/>
        <w:jc w:val="both"/>
      </w:pPr>
      <w:r>
        <w:rPr>
          <w:rFonts w:ascii="Arial" w:cs="Arial" w:eastAsia="Arial" w:hAnsi="Arial"/>
          <w:sz w:val="24"/>
          <w:szCs w:val="24"/>
        </w:rPr>
        <w:t xml:space="preserve">Для обеспечения устойчивого экономического роста действия Правительства будут направлены на продолжение реализации крупных инвестиционных проектов, в целях усиления экспортного потенциала будет проводиться работа по реализации Плана Правительства по развитию экспорта Кыргызской Республики на 2015-2017 годы (постановление Правительства от 31 марта 2015 года № 174), разработанного во исполнение НСУР на период 2013-2017 годы, который будет выступать в качестве "дорожной карты" по расширению экспортного потенциала страны. Планируется запуск проекта "Финансирование экспортоориентированных производств".</w:t>
      </w:r>
    </w:p>
    <w:p>
      <w:pPr>
        <w:spacing w:after="60"/>
        <w:ind w:firstLine="567"/>
        <w:jc w:val="both"/>
      </w:pPr>
      <w:r>
        <w:rPr>
          <w:rFonts w:ascii="Arial" w:cs="Arial" w:eastAsia="Arial" w:hAnsi="Arial"/>
          <w:sz w:val="24"/>
          <w:szCs w:val="24"/>
        </w:rPr>
        <w:t xml:space="preserve">В основу формирования ожидаемых показателей в 2015 году заложены такие основные предпосылки, как:</w:t>
      </w:r>
    </w:p>
    <w:p>
      <w:pPr>
        <w:spacing w:after="60"/>
        <w:ind w:firstLine="567"/>
        <w:jc w:val="both"/>
      </w:pPr>
      <w:r>
        <w:rPr>
          <w:rFonts w:ascii="Arial" w:cs="Arial" w:eastAsia="Arial" w:hAnsi="Arial"/>
          <w:sz w:val="24"/>
          <w:szCs w:val="24"/>
        </w:rPr>
        <w:t xml:space="preserve">- замедление роста экономик стран - основных торговых партнеров Кыргызской Республики (улучшение ожидаемых значений экономического роста в странах - основных торговых партнерах (пересмотр 11 июня 2015 года): в России на 0,2 п.п. (с 97,0% до 97,2%), Казахстане на 0,4 п.п. (с 101,5% до 101,9%);</w:t>
      </w:r>
    </w:p>
    <w:p>
      <w:pPr>
        <w:spacing w:after="60"/>
        <w:ind w:firstLine="567"/>
        <w:jc w:val="both"/>
      </w:pPr>
      <w:r>
        <w:rPr>
          <w:rFonts w:ascii="Arial" w:cs="Arial" w:eastAsia="Arial" w:hAnsi="Arial"/>
          <w:sz w:val="24"/>
          <w:szCs w:val="24"/>
        </w:rPr>
        <w:t xml:space="preserve">- влияние природно-климатических условий на развитие сельского хозяйства и энергетику страны;</w:t>
      </w:r>
    </w:p>
    <w:p>
      <w:pPr>
        <w:spacing w:after="60"/>
        <w:ind w:firstLine="567"/>
        <w:jc w:val="both"/>
      </w:pPr>
      <w:r>
        <w:rPr>
          <w:rFonts w:ascii="Arial" w:cs="Arial" w:eastAsia="Arial" w:hAnsi="Arial"/>
          <w:sz w:val="24"/>
          <w:szCs w:val="24"/>
        </w:rPr>
        <w:t xml:space="preserve">- реализация крупных инвестиционных проектов и мер, заложенных в НСУР и Программе по переходу Кыргызской Республики к устойчивому развитию на 2013-2017 годы, утвержденной постановлением Жогорку Кенеша Кыргызской Республики от 18 декабря 2013 года № 3694-V;</w:t>
      </w:r>
    </w:p>
    <w:p>
      <w:pPr>
        <w:spacing w:after="60"/>
        <w:ind w:firstLine="567"/>
        <w:jc w:val="both"/>
      </w:pPr>
      <w:r>
        <w:rPr>
          <w:rFonts w:ascii="Arial" w:cs="Arial" w:eastAsia="Arial" w:hAnsi="Arial"/>
          <w:sz w:val="24"/>
          <w:szCs w:val="24"/>
        </w:rPr>
        <w:t xml:space="preserve">- увеличение капитальных вложений на 2015 год за счет государственного бюджета (на строительство дорог, социальных объектов);</w:t>
      </w:r>
    </w:p>
    <w:p>
      <w:pPr>
        <w:spacing w:after="60"/>
        <w:ind w:firstLine="567"/>
        <w:jc w:val="both"/>
      </w:pPr>
      <w:r>
        <w:rPr>
          <w:rFonts w:ascii="Arial" w:cs="Arial" w:eastAsia="Arial" w:hAnsi="Arial"/>
          <w:sz w:val="24"/>
          <w:szCs w:val="24"/>
        </w:rPr>
        <w:t xml:space="preserve">- ожидаемая стабильная работа действующих и наращивание объемов введенных предприятий;</w:t>
      </w:r>
    </w:p>
    <w:p>
      <w:pPr>
        <w:spacing w:after="60"/>
        <w:ind w:firstLine="567"/>
        <w:jc w:val="both"/>
      </w:pPr>
      <w:r>
        <w:rPr>
          <w:rFonts w:ascii="Arial" w:cs="Arial" w:eastAsia="Arial" w:hAnsi="Arial"/>
          <w:sz w:val="24"/>
          <w:szCs w:val="24"/>
        </w:rPr>
        <w:t xml:space="preserve">- уточненные объемы производства нефтепродуктов на НПЗ "Петроль Компани "Джунда", месторождении Кумтор;</w:t>
      </w:r>
    </w:p>
    <w:p>
      <w:pPr>
        <w:spacing w:after="60"/>
        <w:ind w:firstLine="567"/>
        <w:jc w:val="both"/>
      </w:pPr>
      <w:r>
        <w:rPr>
          <w:rFonts w:ascii="Arial" w:cs="Arial" w:eastAsia="Arial" w:hAnsi="Arial"/>
          <w:sz w:val="24"/>
          <w:szCs w:val="24"/>
        </w:rPr>
        <w:t xml:space="preserve">- уточнение объемов производства в связи с запуском горно-обогатительного комбината на медно-золоторудном месторождении Бозымчак (1 августа 2015 года) и производства на золоторудном месторождении Талдыбулак Левобережный (29 июля 2015 года);</w:t>
      </w:r>
    </w:p>
    <w:p>
      <w:pPr>
        <w:spacing w:after="60"/>
        <w:ind w:firstLine="567"/>
        <w:jc w:val="both"/>
      </w:pPr>
      <w:r>
        <w:rPr>
          <w:rFonts w:ascii="Arial" w:cs="Arial" w:eastAsia="Arial" w:hAnsi="Arial"/>
          <w:sz w:val="24"/>
          <w:szCs w:val="24"/>
        </w:rPr>
        <w:t xml:space="preserve">- снижение объемов текстильного и швейного производства;</w:t>
      </w:r>
    </w:p>
    <w:p>
      <w:pPr>
        <w:spacing w:after="60"/>
        <w:ind w:firstLine="567"/>
        <w:jc w:val="both"/>
      </w:pPr>
      <w:r>
        <w:rPr>
          <w:rFonts w:ascii="Arial" w:cs="Arial" w:eastAsia="Arial" w:hAnsi="Arial"/>
          <w:sz w:val="24"/>
          <w:szCs w:val="24"/>
        </w:rPr>
        <w:t xml:space="preserve">- снижение потребительского спроса (из-за сокращения объема притока денежных переводов с физических лиц (за I полугодие 2015 года снижение составило 25,4%) и сокращение сбережений населения);</w:t>
      </w:r>
    </w:p>
    <w:p>
      <w:pPr>
        <w:spacing w:after="60"/>
        <w:ind w:firstLine="567"/>
        <w:jc w:val="both"/>
      </w:pPr>
      <w:r>
        <w:rPr>
          <w:rFonts w:ascii="Arial" w:cs="Arial" w:eastAsia="Arial" w:hAnsi="Arial"/>
          <w:sz w:val="24"/>
          <w:szCs w:val="24"/>
        </w:rPr>
        <w:t xml:space="preserve">- умеренный рост в сфере услуг (реальные объемы торговли будут расти умеренными темпами из-за ужесточения таможенного контроля со стороны стран - членов ЕАЭС (сокращение реэкспорта товаров);</w:t>
      </w:r>
    </w:p>
    <w:p>
      <w:pPr>
        <w:spacing w:after="60"/>
        <w:ind w:firstLine="567"/>
        <w:jc w:val="both"/>
      </w:pPr>
      <w:r>
        <w:rPr>
          <w:rFonts w:ascii="Arial" w:cs="Arial" w:eastAsia="Arial" w:hAnsi="Arial"/>
          <w:sz w:val="24"/>
          <w:szCs w:val="24"/>
        </w:rPr>
        <w:t xml:space="preserve">- сокращение предложения денег, снижение объема кредитов, выдаваемых коммерческими банками;</w:t>
      </w:r>
    </w:p>
    <w:p>
      <w:pPr>
        <w:spacing w:after="60"/>
        <w:ind w:firstLine="567"/>
        <w:jc w:val="both"/>
      </w:pPr>
      <w:r>
        <w:rPr>
          <w:rFonts w:ascii="Arial" w:cs="Arial" w:eastAsia="Arial" w:hAnsi="Arial"/>
          <w:sz w:val="24"/>
          <w:szCs w:val="24"/>
        </w:rPr>
        <w:t xml:space="preserve">- открытие кыргызско-казахстанской границы с августа 2015 года;</w:t>
      </w:r>
    </w:p>
    <w:p>
      <w:pPr>
        <w:spacing w:after="60"/>
        <w:ind w:firstLine="567"/>
        <w:jc w:val="both"/>
      </w:pPr>
      <w:r>
        <w:rPr>
          <w:rFonts w:ascii="Arial" w:cs="Arial" w:eastAsia="Arial" w:hAnsi="Arial"/>
          <w:sz w:val="24"/>
          <w:szCs w:val="24"/>
        </w:rPr>
        <w:t xml:space="preserve">- изменения условий внешнеэкономической деятельности в связи с вступлением в ЕАЭС;</w:t>
      </w:r>
    </w:p>
    <w:p>
      <w:pPr>
        <w:spacing w:after="60"/>
        <w:ind w:firstLine="567"/>
        <w:jc w:val="both"/>
      </w:pPr>
      <w:r>
        <w:rPr>
          <w:rFonts w:ascii="Arial" w:cs="Arial" w:eastAsia="Arial" w:hAnsi="Arial"/>
          <w:sz w:val="24"/>
          <w:szCs w:val="24"/>
        </w:rPr>
        <w:t xml:space="preserve">- изменение обменного курса иностранной валюты по отношению к сому;</w:t>
      </w:r>
    </w:p>
    <w:p>
      <w:pPr>
        <w:spacing w:after="60"/>
        <w:ind w:firstLine="567"/>
        <w:jc w:val="both"/>
      </w:pPr>
      <w:r>
        <w:rPr>
          <w:rFonts w:ascii="Arial" w:cs="Arial" w:eastAsia="Arial" w:hAnsi="Arial"/>
          <w:sz w:val="24"/>
          <w:szCs w:val="24"/>
        </w:rPr>
        <w:t xml:space="preserve">- отток капитала;</w:t>
      </w:r>
    </w:p>
    <w:p>
      <w:pPr>
        <w:spacing w:after="60"/>
        <w:ind w:firstLine="567"/>
        <w:jc w:val="both"/>
      </w:pPr>
      <w:r>
        <w:rPr>
          <w:rFonts w:ascii="Arial" w:cs="Arial" w:eastAsia="Arial" w:hAnsi="Arial"/>
          <w:sz w:val="24"/>
          <w:szCs w:val="24"/>
        </w:rPr>
        <w:t xml:space="preserve">- умеренный рост уровня инфляции.</w:t>
      </w:r>
    </w:p>
    <w:p>
      <w:pPr>
        <w:spacing w:after="60"/>
        <w:ind w:firstLine="567"/>
        <w:jc w:val="both"/>
      </w:pPr>
      <w:r>
        <w:rPr>
          <w:rFonts w:ascii="Arial" w:cs="Arial" w:eastAsia="Arial" w:hAnsi="Arial"/>
          <w:sz w:val="24"/>
          <w:szCs w:val="24"/>
        </w:rPr>
        <w:t xml:space="preserve">Указанные предпосылки будут оказывать непосредственное влияние на макроэкономические показатели на 2015 год и предстоящие годы.</w:t>
      </w:r>
    </w:p>
    <w:p>
      <w:pPr>
        <w:spacing w:after="60"/>
        <w:ind w:firstLine="567"/>
        <w:jc w:val="both"/>
      </w:pPr>
      <w:r>
        <w:rPr>
          <w:rFonts w:ascii="Arial" w:cs="Arial" w:eastAsia="Arial" w:hAnsi="Arial"/>
          <w:sz w:val="24"/>
          <w:szCs w:val="24"/>
        </w:rPr>
        <w:t xml:space="preserve">В результате экономический рост в 2015 году ожидается на уровне 3,1%, а без учета предприятий по разработке месторождения Кумтор - на уровне 4,5%. Номинальный объем ВВП в 2015 году ожидается в сумме 437,8 млрд. сомов.</w:t>
      </w:r>
    </w:p>
    <w:p>
      <w:pPr>
        <w:spacing w:after="60"/>
        <w:ind w:firstLine="567"/>
        <w:jc w:val="both"/>
      </w:pPr>
      <w:r>
        <w:rPr>
          <w:rFonts w:ascii="Arial" w:cs="Arial" w:eastAsia="Arial" w:hAnsi="Arial"/>
          <w:sz w:val="24"/>
          <w:szCs w:val="24"/>
        </w:rPr>
        <w:t xml:space="preserve">Основные ожидаемые социально-экономические показатели в 2015 году сложатся следующим образом:</w:t>
      </w:r>
    </w:p>
    <w:p>
      <w:pPr>
        <w:spacing w:after="120" w:before="120"/>
        <w:ind w:firstLine="567"/>
        <w:jc w:val="right"/>
      </w:pPr>
      <w:r>
        <w:rPr>
          <w:rFonts w:ascii="Arial" w:cs="Arial" w:eastAsia="Arial" w:hAnsi="Arial"/>
          <w:sz w:val="24"/>
          <w:szCs w:val="24"/>
        </w:rPr>
        <w:t xml:space="preserve">Таблица 7</w:t>
      </w:r>
    </w:p>
    <w:p>
      <w:pPr>
        <w:spacing w:after="200" w:before="200"/>
        <w:jc w:val="center"/>
      </w:pPr>
      <w:r>
        <w:rPr>
          <w:rFonts w:ascii="Arial" w:cs="Arial" w:eastAsia="Arial" w:hAnsi="Arial"/>
          <w:b/>
          <w:bCs/>
          <w:sz w:val="32"/>
          <w:szCs w:val="32"/>
        </w:rPr>
        <w:t xml:space="preserve">Структура и темпы роста по секторам, формирующим ВВП(13)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67"/>
        <w:gridCol w:w="1001"/>
        <w:gridCol w:w="1001"/>
        <w:gridCol w:w="1001"/>
        <w:gridCol w:w="1001"/>
        <w:gridCol w:w="1001"/>
        <w:gridCol w:w="1001"/>
        <w:gridCol w:w="1001"/>
        <w:gridCol w:w="1001"/>
      </w:tblGrid>
      <w:tr>
        <w:tc>
          <w:tcPr>
            <w:tcW w:type="dxa" w:w="216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0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год</w:t>
            </w:r>
          </w:p>
        </w:tc>
        <w:tc>
          <w:tcPr>
            <w:tcW w:type="dxa" w:w="400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r>
      <w:tr>
        <w:tc>
          <w:tcPr>
            <w:vMerge w:val="continue"/>
            <w:tcBorders>
              <w:top w:val="single" w:color="CBBF9E" w:sz="4"/>
              <w:left w:val="single" w:color="CBBF9E" w:sz="4"/>
              <w:bottom w:val="single" w:color="CBBF9E" w:sz="4"/>
              <w:right w:val="single" w:color="CBBF9E" w:sz="4"/>
            </w:tcBorders>
          </w:tcP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
 (млн. сомов)</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
 (млн. сомов)</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r>
      <w:tr>
        <w:tc>
          <w:tcPr>
            <w:tcW w:type="dxa" w:w="21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397277,1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437772,7</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r>
      <w:tr>
        <w:tc>
          <w:tcPr>
            <w:tcW w:type="dxa" w:w="21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58888,7</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63720,6</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w:t>
            </w:r>
          </w:p>
        </w:tc>
      </w:tr>
      <w:tr>
        <w:tc>
          <w:tcPr>
            <w:tcW w:type="dxa" w:w="21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61741,3</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64559,5</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r>
      <w:tr>
        <w:tc>
          <w:tcPr>
            <w:tcW w:type="dxa" w:w="21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29461,1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124,9</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34633,6</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0,88</w:t>
            </w:r>
          </w:p>
        </w:tc>
      </w:tr>
      <w:tr>
        <w:tc>
          <w:tcPr>
            <w:tcW w:type="dxa" w:w="21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191139,3</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213094,4</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48,7</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w:t>
            </w:r>
          </w:p>
        </w:tc>
      </w:tr>
      <w:tr>
        <w:tc>
          <w:tcPr>
            <w:tcW w:type="dxa" w:w="21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продуты и импорт</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56046,7</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61764,5</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0,48</w:t>
            </w:r>
          </w:p>
        </w:tc>
      </w:tr>
    </w:tbl>
    <w:p>
      <w:pPr>
        <w:spacing w:after="60" w:before="120"/>
        <w:ind w:firstLine="567"/>
        <w:jc w:val="both"/>
      </w:pPr>
      <w:r>
        <w:rPr>
          <w:rFonts w:ascii="Arial" w:cs="Arial" w:eastAsia="Arial" w:hAnsi="Arial"/>
          <w:sz w:val="24"/>
          <w:szCs w:val="24"/>
        </w:rPr>
        <w:t xml:space="preserve">Ожидаемый экономический рост на уровне 3,1% будет обеспечиваться положительным вкладом в ВВП практически всех секторов экономики, в том числе за счет роста производства: (1) сельского хозяйства - на 2,0%; (2) строительного сектора - на 11,8%; (3) сектора услуг - на 3,1%. Наибольший вклад будет обеспечен со стороны сектора услуг (1,49 процентного пункта), а вклады строительства (0,88 процентного пункта) и сельского хозяйства (0,30 процентного пункта) будут умеренными.</w:t>
      </w:r>
    </w:p>
    <w:p>
      <w:pPr>
        <w:spacing w:after="60"/>
        <w:ind w:firstLine="567"/>
        <w:jc w:val="both"/>
      </w:pPr>
      <w:r>
        <w:rPr>
          <w:rFonts w:ascii="Arial" w:cs="Arial" w:eastAsia="Arial" w:hAnsi="Arial"/>
          <w:sz w:val="24"/>
          <w:szCs w:val="24"/>
        </w:rPr>
        <w:t xml:space="preserve">В основных секторах экономики ожидаемые показатели на 2015 год выглядят следующем образом:</w:t>
      </w:r>
    </w:p>
    <w:p>
      <w:pPr>
        <w:spacing w:after="60"/>
        <w:ind w:firstLine="567"/>
        <w:jc w:val="both"/>
      </w:pPr>
      <w:r>
        <w:rPr>
          <w:rFonts w:ascii="Arial" w:cs="Arial" w:eastAsia="Arial" w:hAnsi="Arial"/>
          <w:sz w:val="24"/>
          <w:szCs w:val="24"/>
        </w:rPr>
        <w:t xml:space="preserve">(1) в сельском хозяйстве в 2015 году темп реального прироста ожидается на уровне 2% за счет прироста в растениеводстве - на 2,1% и животноводстве - на 2,0%. Удельный вес в общем объеме ВВП составит 14,6%, а вклад в рост ВВП - 0,3 процентных пункта.</w:t>
      </w:r>
    </w:p>
    <w:p>
      <w:pPr>
        <w:spacing w:after="60"/>
        <w:ind w:firstLine="567"/>
        <w:jc w:val="both"/>
      </w:pPr>
      <w:r>
        <w:rPr>
          <w:rFonts w:ascii="Arial" w:cs="Arial" w:eastAsia="Arial" w:hAnsi="Arial"/>
          <w:sz w:val="24"/>
          <w:szCs w:val="24"/>
        </w:rPr>
        <w:t xml:space="preserve">В основу ожидаемых показателей в сельском хозяйстве заложены следующие предпосылки:</w:t>
      </w:r>
    </w:p>
    <w:p>
      <w:pPr>
        <w:spacing w:after="60"/>
        <w:ind w:firstLine="567"/>
        <w:jc w:val="both"/>
      </w:pPr>
      <w:r>
        <w:rPr>
          <w:rFonts w:ascii="Arial" w:cs="Arial" w:eastAsia="Arial" w:hAnsi="Arial"/>
          <w:sz w:val="24"/>
          <w:szCs w:val="24"/>
        </w:rPr>
        <w:t xml:space="preserve">- увеличение урожайности зерновых культур;</w:t>
      </w:r>
    </w:p>
    <w:p>
      <w:pPr>
        <w:spacing w:after="60"/>
        <w:ind w:firstLine="567"/>
        <w:jc w:val="both"/>
      </w:pPr>
      <w:r>
        <w:rPr>
          <w:rFonts w:ascii="Arial" w:cs="Arial" w:eastAsia="Arial" w:hAnsi="Arial"/>
          <w:sz w:val="24"/>
          <w:szCs w:val="24"/>
        </w:rPr>
        <w:t xml:space="preserve">- увеличение поголовья крупного рогатого скота;</w:t>
      </w:r>
    </w:p>
    <w:p>
      <w:pPr>
        <w:spacing w:after="60"/>
        <w:ind w:firstLine="567"/>
        <w:jc w:val="both"/>
      </w:pPr>
      <w:r>
        <w:rPr>
          <w:rFonts w:ascii="Arial" w:cs="Arial" w:eastAsia="Arial" w:hAnsi="Arial"/>
          <w:sz w:val="24"/>
          <w:szCs w:val="24"/>
        </w:rPr>
        <w:t xml:space="preserve">- улучшение структуры посевных площадей;</w:t>
      </w:r>
    </w:p>
    <w:p>
      <w:pPr>
        <w:spacing w:after="60"/>
        <w:ind w:firstLine="567"/>
        <w:jc w:val="both"/>
      </w:pPr>
      <w:r>
        <w:rPr>
          <w:rFonts w:ascii="Arial" w:cs="Arial" w:eastAsia="Arial" w:hAnsi="Arial"/>
          <w:sz w:val="24"/>
          <w:szCs w:val="24"/>
        </w:rPr>
        <w:t xml:space="preserve">- эффект от предоставленных ранее льготных кредитов по программе "Финансирование сельского хозяйства" и продолжение в 2015 году кредитования сельскохозяйственного производства (в 2011-2014 годах выделено кредитных средств на сумму 9,7 млрд. сомов, по состоянию на 6 августа2015 года, в рамках реализации проекта "Финансирование сельского хозяйства-3" выдано 7712 льготных кредитов на общую сумму 2,941 млрд. сомов, в том числе на развитие животноводства - 2316,1 млн. сомов, растениеводства - 323,3 млн. сомов, перерабатывающих производств - 302,4 млн. сомов). Ожидается, что эффект от финансирования сельского хозяйства составит 0,12 п.п. (по общепризнанным нормативным показателям);</w:t>
      </w:r>
    </w:p>
    <w:p>
      <w:pPr>
        <w:spacing w:after="60"/>
        <w:ind w:firstLine="567"/>
        <w:jc w:val="both"/>
      </w:pPr>
      <w:r>
        <w:rPr>
          <w:rFonts w:ascii="Arial" w:cs="Arial" w:eastAsia="Arial" w:hAnsi="Arial"/>
          <w:sz w:val="24"/>
          <w:szCs w:val="24"/>
        </w:rPr>
        <w:t xml:space="preserve">- влияние благоприятных природно-климатических условий.</w:t>
      </w:r>
    </w:p>
    <w:p>
      <w:pPr>
        <w:spacing w:after="60"/>
        <w:ind w:firstLine="567"/>
        <w:jc w:val="both"/>
      </w:pPr>
      <w:r>
        <w:rPr>
          <w:rFonts w:ascii="Arial" w:cs="Arial" w:eastAsia="Arial" w:hAnsi="Arial"/>
          <w:sz w:val="24"/>
          <w:szCs w:val="24"/>
        </w:rPr>
        <w:t xml:space="preserve">(2) В промышленном секторе(14) в 2015 году в целом ожидается достижение положительной динамики развития и физический объем составит 100% за счет:</w:t>
      </w:r>
    </w:p>
    <w:p>
      <w:pPr>
        <w:spacing w:after="60"/>
        <w:ind w:firstLine="567"/>
        <w:jc w:val="both"/>
      </w:pPr>
      <w:r>
        <w:rPr>
          <w:rFonts w:ascii="Arial" w:cs="Arial" w:eastAsia="Arial" w:hAnsi="Arial"/>
          <w:sz w:val="24"/>
          <w:szCs w:val="24"/>
        </w:rPr>
        <w:t xml:space="preserve">- стабильной работы предприятия по разработке месторождения Кумтор, где объем производства основных металлов ожидается в количестве 488,0 тыс. унций (ранее в расчет взят 480,0 тыс. унций). Согласно новому техническому отчету ЗАО "Кумтор Голд компани", объемы добычи на 2015 год и среднесрочный период снижены по сравнению с 2014 годом из-за сокращения ранее подтвержденных и прогнозируемых запасов золота на месторождении Кумтор (на 1,6 млн. унций с конца 2013 года, после расчета переработки 731 тыс. унций в руде в 2014 году), где причинами сокращения запасов являются отрицательные показатели при сверке производственных данных в 2014 году, введение новой блочной модели для подсчета запасов, изменения в проекте Центрального карьера, с учетом возведения внутрикарьерного отвала и выполаживания некоторых бортов карьера. Объемы снижены вместо ранее прогнозируемых 520,0 тыс. унций из-за наличия геотехнических проблем на участке Сары-Тор, которые не позволяют на месторождении начать работу по добыче;</w:t>
      </w:r>
    </w:p>
    <w:p>
      <w:pPr>
        <w:spacing w:after="60"/>
        <w:ind w:firstLine="567"/>
        <w:jc w:val="both"/>
      </w:pPr>
      <w:r>
        <w:rPr>
          <w:rFonts w:ascii="Arial" w:cs="Arial" w:eastAsia="Arial" w:hAnsi="Arial"/>
          <w:sz w:val="24"/>
          <w:szCs w:val="24"/>
        </w:rPr>
        <w:t xml:space="preserve">- увеличение объемов производства нефтепродуктов с 200 тыс. т до 250 тыс. т за счет уточненных объемов на НПЗ "Петроль Компани "Джунда";</w:t>
      </w:r>
    </w:p>
    <w:p>
      <w:pPr>
        <w:spacing w:after="60"/>
        <w:ind w:firstLine="567"/>
        <w:jc w:val="both"/>
      </w:pPr>
      <w:r>
        <w:rPr>
          <w:rFonts w:ascii="Arial" w:cs="Arial" w:eastAsia="Arial" w:hAnsi="Arial"/>
          <w:sz w:val="24"/>
          <w:szCs w:val="24"/>
        </w:rPr>
        <w:t xml:space="preserve">- увеличения добычи металлических руд в 5 раз, вместо ранее прогнозируемых в 2 раза, за счет уточнения объемов производства в связи с запуском горно-обогатительного комбината на медно-золоторудном месторождении Бозымчак (1 августа 2015 года) и производства на золоторудном месторождении Талдыбулак Левобережный (29 июля 2015 года);</w:t>
      </w:r>
    </w:p>
    <w:p>
      <w:pPr>
        <w:spacing w:after="60"/>
        <w:ind w:firstLine="567"/>
        <w:jc w:val="both"/>
      </w:pPr>
      <w:r>
        <w:rPr>
          <w:rFonts w:ascii="Arial" w:cs="Arial" w:eastAsia="Arial" w:hAnsi="Arial"/>
          <w:sz w:val="24"/>
          <w:szCs w:val="24"/>
        </w:rPr>
        <w:t xml:space="preserve">- обеспечения запланированных объемов производства на угледобывающих предприятиях и предприятиях по производству строительных материалов;</w:t>
      </w:r>
    </w:p>
    <w:p>
      <w:pPr>
        <w:spacing w:after="60"/>
        <w:ind w:firstLine="567"/>
        <w:jc w:val="both"/>
      </w:pPr>
      <w:r>
        <w:rPr>
          <w:rFonts w:ascii="Arial" w:cs="Arial" w:eastAsia="Arial" w:hAnsi="Arial"/>
          <w:sz w:val="24"/>
          <w:szCs w:val="24"/>
        </w:rPr>
        <w:t xml:space="preserve">- продолжение работы по возобновлению работы простаивающих предприятий, оздоровлению хозяйствующих субъектов через процедуру банкротства, реструктуризацию и др.;</w:t>
      </w:r>
    </w:p>
    <w:p>
      <w:pPr>
        <w:spacing w:after="60"/>
        <w:ind w:firstLine="567"/>
        <w:jc w:val="both"/>
      </w:pPr>
      <w:r>
        <w:rPr>
          <w:rFonts w:ascii="Arial" w:cs="Arial" w:eastAsia="Arial" w:hAnsi="Arial"/>
          <w:sz w:val="24"/>
          <w:szCs w:val="24"/>
        </w:rPr>
        <w:t xml:space="preserve">- снижения объемов текстильно-швейного производства из-за сужения потребительского спроса на рынках России, Казахстана;</w:t>
      </w:r>
    </w:p>
    <w:p>
      <w:pPr>
        <w:spacing w:after="60"/>
        <w:ind w:firstLine="567"/>
        <w:jc w:val="both"/>
      </w:pPr>
      <w:r>
        <w:rPr>
          <w:rFonts w:ascii="Arial" w:cs="Arial" w:eastAsia="Arial" w:hAnsi="Arial"/>
          <w:sz w:val="24"/>
          <w:szCs w:val="24"/>
        </w:rPr>
        <w:t xml:space="preserve">- снижения выработки электроэнергии в связи с низкой приточностью воды в Токтогульское водохранилище. В 2015 году запланирован импорт электроэнергии в объеме 1500 млн. кВт час из Республики Таджикистан и Республики Казахстан. Кроме того, во исполнение межправительственных договоренностей между Кыргызской Республикой и Республикой Казахстан предусмотрен товарообмен электрической энергией в объеме до 400 млн. кВтч (данный объем включен в показатели по экспорту и импорту).</w:t>
      </w:r>
    </w:p>
    <w:p>
      <w:pPr>
        <w:spacing w:after="60"/>
        <w:ind w:firstLine="567"/>
        <w:jc w:val="both"/>
      </w:pPr>
      <w:r>
        <w:rPr>
          <w:rFonts w:ascii="Arial" w:cs="Arial" w:eastAsia="Arial" w:hAnsi="Arial"/>
          <w:sz w:val="24"/>
          <w:szCs w:val="24"/>
        </w:rPr>
        <w:t xml:space="preserve">В результате ожидается номинальный вклад сектора промышленности в рост ВВП, который составит (-)0,01 процентных пункта, с удельным весом в общем объеме ВВП 14,8%. Без учета предприятий по разработке месторождения Кумтор, рост промышленного производства ожидается на уровне 11,3% за счет устойчивой работы предприятий по добыче каменного угля и бурого угля (лигнита), сырой нефти и природного газа, металлических руд; производству пищевых продуктов, строительных материалов, нефтепродуктов, электрооборудования, фармацевтических товаров и др.</w:t>
      </w:r>
    </w:p>
    <w:p>
      <w:pPr>
        <w:spacing w:after="60"/>
        <w:ind w:firstLine="567"/>
        <w:jc w:val="both"/>
      </w:pPr>
      <w:r>
        <w:rPr>
          <w:rFonts w:ascii="Arial" w:cs="Arial" w:eastAsia="Arial" w:hAnsi="Arial"/>
          <w:sz w:val="24"/>
          <w:szCs w:val="24"/>
        </w:rPr>
        <w:t xml:space="preserve">(3) В секторе строительства в 2015 году ожидается увеличение общего объема капитальных вложений, который составит 126,1 млрд. сомов (вместо ранее прогнозируемых 123,5 млрд. сомов).</w:t>
      </w:r>
    </w:p>
    <w:p>
      <w:pPr>
        <w:spacing w:after="60"/>
        <w:ind w:firstLine="567"/>
        <w:jc w:val="both"/>
      </w:pPr>
      <w:r>
        <w:rPr>
          <w:rFonts w:ascii="Arial" w:cs="Arial" w:eastAsia="Arial" w:hAnsi="Arial"/>
          <w:sz w:val="24"/>
          <w:szCs w:val="24"/>
        </w:rPr>
        <w:t xml:space="preserve">Увеличение обусловлено тем, что в ранее утвержденном государственном бюджете 2015 года на расходы по статье "Капитальные вложения" были предусмотрены средства в объеме 2700 млн. сомов. Согласно Закону Кыргызской Республики "О внесении изменений и дополнения в Закон Кыргызской Республики "О республиканском бюджете Кыргызской Республики на 2015 год и прогнозе на 2016-2017 годы" от 11 июля 2015 года № 151 при уточнении бюджета объемы капвложений увеличены на 2800,2 млн. сомов. В проекте уточненного бюджета на текущий год общий объем государственных капитальных вложений составил 5500,2 млн. сомов, или возрос в 2 раза.</w:t>
      </w:r>
    </w:p>
    <w:p>
      <w:pPr>
        <w:spacing w:after="60"/>
        <w:ind w:firstLine="567"/>
        <w:jc w:val="both"/>
      </w:pPr>
      <w:r>
        <w:rPr>
          <w:rFonts w:ascii="Arial" w:cs="Arial" w:eastAsia="Arial" w:hAnsi="Arial"/>
          <w:sz w:val="24"/>
          <w:szCs w:val="24"/>
        </w:rPr>
        <w:t xml:space="preserve">Увеличение расходов связано с реконструкцией автомобильной дороги Бишкек - Международный аэропорт "Манас", улиц областных центров и городов республики. За счет дополнительных средств будут построены автомобильные дороги приграничных районов Баткенской области и многоквартирный дом в городе Исфана для военнослужащих Государственной пограничной службы Кыргызской Республики, и решаться другие социально значимые вопросы.</w:t>
      </w:r>
    </w:p>
    <w:p>
      <w:pPr>
        <w:spacing w:after="60"/>
        <w:ind w:firstLine="567"/>
        <w:jc w:val="both"/>
      </w:pPr>
      <w:r>
        <w:rPr>
          <w:rFonts w:ascii="Arial" w:cs="Arial" w:eastAsia="Arial" w:hAnsi="Arial"/>
          <w:sz w:val="24"/>
          <w:szCs w:val="24"/>
        </w:rPr>
        <w:t xml:space="preserve">Произошло увеличение первоначальной утвержденной сметы расходов по статье "Капитальные вложения", в том числе:</w:t>
      </w:r>
    </w:p>
    <w:p>
      <w:pPr>
        <w:spacing w:after="60"/>
        <w:ind w:firstLine="567"/>
        <w:jc w:val="both"/>
      </w:pPr>
      <w:r>
        <w:rPr>
          <w:rFonts w:ascii="Arial" w:cs="Arial" w:eastAsia="Arial" w:hAnsi="Arial"/>
          <w:sz w:val="24"/>
          <w:szCs w:val="24"/>
        </w:rPr>
        <w:t xml:space="preserve">- согласно распоряжению Правительства Кыргызской Республики о реконструкции автомобильной дороги Бишкек - Международный аэропорт "Манас" - в объеме 1084,8 млн. сомов, из них в 2015 году - 584,8 млн. сомов, в 2016 году - 500,0 млн. сомов;</w:t>
      </w:r>
    </w:p>
    <w:p>
      <w:pPr>
        <w:spacing w:after="60"/>
        <w:ind w:firstLine="567"/>
        <w:jc w:val="both"/>
      </w:pPr>
      <w:r>
        <w:rPr>
          <w:rFonts w:ascii="Arial" w:cs="Arial" w:eastAsia="Arial" w:hAnsi="Arial"/>
          <w:sz w:val="24"/>
          <w:szCs w:val="24"/>
        </w:rPr>
        <w:t xml:space="preserve">- согласно распоряжению Правительства Кыргызской Республики о реконструкции улиц областных центров и городов Кыргызской Республики - в объеме 850,0 млн. сомов;</w:t>
      </w:r>
    </w:p>
    <w:p>
      <w:pPr>
        <w:spacing w:after="60"/>
        <w:ind w:firstLine="567"/>
        <w:jc w:val="both"/>
      </w:pPr>
      <w:r>
        <w:rPr>
          <w:rFonts w:ascii="Arial" w:cs="Arial" w:eastAsia="Arial" w:hAnsi="Arial"/>
          <w:sz w:val="24"/>
          <w:szCs w:val="24"/>
        </w:rPr>
        <w:t xml:space="preserve">- согласно протоколу совещания у Премьер-министра Кыргызской Республики от 15 мая 2015 года № 18-50, для завершения объектов, подлежащих вводу в эксплуатацию в 2015 году, - в объеме 500,0 млн. сомов.</w:t>
      </w:r>
    </w:p>
    <w:p>
      <w:pPr>
        <w:spacing w:after="60"/>
        <w:ind w:firstLine="567"/>
        <w:jc w:val="both"/>
      </w:pPr>
      <w:r>
        <w:rPr>
          <w:rFonts w:ascii="Arial" w:cs="Arial" w:eastAsia="Arial" w:hAnsi="Arial"/>
          <w:sz w:val="24"/>
          <w:szCs w:val="24"/>
        </w:rPr>
        <w:t xml:space="preserve">Исходя из планируемых объемов капитализации экономики, ожидается реальное увеличение общего объема валовой продукции строительства в 2015 году на 11,8% (вместо 7,8%) и составит 113,9 млрд. сомов. Положительный вклад строительного сектора в темпы экономического роста составит 0,88 процентного пункта, а удельный вес в структуре производства ВВП - 7,9%.</w:t>
      </w:r>
    </w:p>
    <w:p>
      <w:pPr>
        <w:spacing w:after="60"/>
        <w:ind w:firstLine="567"/>
        <w:jc w:val="both"/>
      </w:pPr>
      <w:r>
        <w:rPr>
          <w:rFonts w:ascii="Arial" w:cs="Arial" w:eastAsia="Arial" w:hAnsi="Arial"/>
          <w:sz w:val="24"/>
          <w:szCs w:val="24"/>
        </w:rPr>
        <w:t xml:space="preserve">(4) Сфера услуг, по-прежнему, будет занимать доминирующую долю в структуре ВВП (48,6%), где ожидается реальное увеличение на 3,2%, которое будет обеспечиваться за счет роста торговли на 5,1%, транспортных услуг - на 4,5%, услуг гостиниц и ресторанов - на 6,5%. Положительный вклад сферы услуг в формирование ВВП составит 1,49 процентных пункта.</w:t>
      </w:r>
    </w:p>
    <w:p>
      <w:pPr>
        <w:spacing w:after="60"/>
        <w:ind w:firstLine="567"/>
        <w:jc w:val="both"/>
      </w:pPr>
      <w:r>
        <w:rPr>
          <w:rFonts w:ascii="Arial" w:cs="Arial" w:eastAsia="Arial" w:hAnsi="Arial"/>
          <w:sz w:val="24"/>
          <w:szCs w:val="24"/>
        </w:rPr>
        <w:t xml:space="preserve">В 2015 году динамика индекса потребительских цен будет определяться разнонаправленными факторами (волатильность обменного курса национальной валюты к иностранным валютам, влияние мировых цен на продовольствие, инфляционные ожидания населения в связи с вступлением Кыргызской Республики в ЕАЭС, изменение тарифной политики и т.д.), при этом ожидается в пределах однозначных значений.</w:t>
      </w:r>
    </w:p>
    <w:p>
      <w:pPr>
        <w:spacing w:after="60"/>
        <w:ind w:firstLine="567"/>
        <w:jc w:val="both"/>
      </w:pPr>
      <w:r>
        <w:rPr>
          <w:rFonts w:ascii="Arial" w:cs="Arial" w:eastAsia="Arial" w:hAnsi="Arial"/>
          <w:sz w:val="24"/>
          <w:szCs w:val="24"/>
        </w:rPr>
        <w:t xml:space="preserve">Развитие экономики в странах - основных торговых партнерах оказывает непосредственное влияние на экономику Кыргызской Республики, поэтому уровень инфляции в стране будет зависеть от влияния улучшения или ухудшения внешней конъюнктуры рынка. Рост уровня инфляции в Российской Федерации ожидается до 11,6-11,9%, в Республике Казахстан - в коридоре 6,0-8,0%, Республике Беларусь - до 15,0-18,0%, Армении - до 2,5-5,5%.</w:t>
      </w:r>
    </w:p>
    <w:p>
      <w:pPr>
        <w:spacing w:after="60"/>
        <w:ind w:firstLine="567"/>
        <w:jc w:val="both"/>
      </w:pPr>
      <w:r>
        <w:rPr>
          <w:rFonts w:ascii="Arial" w:cs="Arial" w:eastAsia="Arial" w:hAnsi="Arial"/>
          <w:sz w:val="24"/>
          <w:szCs w:val="24"/>
        </w:rPr>
        <w:t xml:space="preserve">Кыргызская Республика является импортозависимой страной, и большая часть продовольственных товаров (занимают в потребительской корзине 48,2%) и непродовольственных товаров (удельный вес - 29,0%) ввозится из стран - основных торговых партнеров и оплачена в иностранной валюте, что также будет предопределять и стимулировать рост цен, который будет зависеть от колебания обменного курса, а также роста цен на продовольственные товары (с открытием границ в связи со вступлением в ЕАЭС ожидается начало процесса выравнивания цен с ценами государств - членов ЕАЭС) и импорт.</w:t>
      </w:r>
    </w:p>
    <w:p>
      <w:pPr>
        <w:spacing w:after="60"/>
        <w:ind w:firstLine="567"/>
        <w:jc w:val="both"/>
      </w:pPr>
      <w:r>
        <w:rPr>
          <w:rFonts w:ascii="Arial" w:cs="Arial" w:eastAsia="Arial" w:hAnsi="Arial"/>
          <w:sz w:val="24"/>
          <w:szCs w:val="24"/>
        </w:rPr>
        <w:t xml:space="preserve">Однако сдерживающее воздействие на инфляцию будут оказывать благоприятные прогнозы международных организаций по основным видам продуктов, данные прогнозы будут положительно сказываться на динамике потребительских цен на продовольственные товары, которые наиболее существенно влияют на инфляцию.</w:t>
      </w:r>
    </w:p>
    <w:p>
      <w:pPr>
        <w:spacing w:after="60"/>
        <w:ind w:firstLine="567"/>
        <w:jc w:val="both"/>
      </w:pPr>
      <w:r>
        <w:rPr>
          <w:rFonts w:ascii="Arial" w:cs="Arial" w:eastAsia="Arial" w:hAnsi="Arial"/>
          <w:sz w:val="24"/>
          <w:szCs w:val="24"/>
        </w:rPr>
        <w:t xml:space="preserve">По данным Международного Совета по зерну, урожай зерновых в Казахстане составит 16,5 млн. тонн. При этом начальные запасы составят 3,1 млн. тонн, общий объем предложения составит 19,8 млн. тонн. Прогноз экспорта зерна прогнозируется на уровне - 6,9 млн. тонн. В Российской Федерации ожидается хороший урожай зерновых, по прогнозу Международного Совета по зерну, в 2015 году урожай зерновых составит 90,3 млн. тонн. В 2015-2016 годах Российская Федерация может экспортировать 28,9 млн. тонн зерна.</w:t>
      </w:r>
    </w:p>
    <w:p>
      <w:pPr>
        <w:spacing w:after="60"/>
        <w:ind w:firstLine="567"/>
        <w:jc w:val="both"/>
      </w:pPr>
      <w:r>
        <w:rPr>
          <w:rFonts w:ascii="Arial" w:cs="Arial" w:eastAsia="Arial" w:hAnsi="Arial"/>
          <w:sz w:val="24"/>
          <w:szCs w:val="24"/>
        </w:rPr>
        <w:t xml:space="preserve">В целях предотвращения спекулятивных операций на валютном рынке и влияния обменного курса на стоимость потребительских товаров, принят План мер на 2015 год по сглаживанию резких колебаний обменного курса, недопущению резкого повышения цен на товары, услуги и ГСМ (от 14 января 2015 года), реализация которого позволит удержать темпы роста потребительских цен, где основными мерами являются:</w:t>
      </w:r>
    </w:p>
    <w:p>
      <w:pPr>
        <w:spacing w:after="60"/>
        <w:ind w:firstLine="567"/>
        <w:jc w:val="both"/>
      </w:pPr>
      <w:r>
        <w:rPr>
          <w:rFonts w:ascii="Arial" w:cs="Arial" w:eastAsia="Arial" w:hAnsi="Arial"/>
          <w:sz w:val="24"/>
          <w:szCs w:val="24"/>
        </w:rPr>
        <w:t xml:space="preserve">- проведение валютных интервенций в целях сглаживания резких колебаний обменного курса сома;</w:t>
      </w:r>
    </w:p>
    <w:p>
      <w:pPr>
        <w:spacing w:after="60"/>
        <w:ind w:firstLine="567"/>
        <w:jc w:val="both"/>
      </w:pPr>
      <w:r>
        <w:rPr>
          <w:rFonts w:ascii="Arial" w:cs="Arial" w:eastAsia="Arial" w:hAnsi="Arial"/>
          <w:sz w:val="24"/>
          <w:szCs w:val="24"/>
        </w:rPr>
        <w:t xml:space="preserve">- проведение проверок обменных бюро, в частности, в небанковском секторе;</w:t>
      </w:r>
    </w:p>
    <w:p>
      <w:pPr>
        <w:spacing w:after="60"/>
        <w:ind w:firstLine="567"/>
        <w:jc w:val="both"/>
      </w:pPr>
      <w:r>
        <w:rPr>
          <w:rFonts w:ascii="Arial" w:cs="Arial" w:eastAsia="Arial" w:hAnsi="Arial"/>
          <w:sz w:val="24"/>
          <w:szCs w:val="24"/>
        </w:rPr>
        <w:t xml:space="preserve">- проведение товарных интервенций;</w:t>
      </w:r>
    </w:p>
    <w:p>
      <w:pPr>
        <w:spacing w:after="60"/>
        <w:ind w:firstLine="567"/>
        <w:jc w:val="both"/>
      </w:pPr>
      <w:r>
        <w:rPr>
          <w:rFonts w:ascii="Arial" w:cs="Arial" w:eastAsia="Arial" w:hAnsi="Arial"/>
          <w:sz w:val="24"/>
          <w:szCs w:val="24"/>
        </w:rPr>
        <w:t xml:space="preserve">- отслеживание вывоза наличной валюты;</w:t>
      </w:r>
    </w:p>
    <w:p>
      <w:pPr>
        <w:spacing w:after="60"/>
        <w:ind w:firstLine="567"/>
        <w:jc w:val="both"/>
      </w:pPr>
      <w:r>
        <w:rPr>
          <w:rFonts w:ascii="Arial" w:cs="Arial" w:eastAsia="Arial" w:hAnsi="Arial"/>
          <w:sz w:val="24"/>
          <w:szCs w:val="24"/>
        </w:rPr>
        <w:t xml:space="preserve">- регулирование нормативов обязательных резервов;</w:t>
      </w:r>
    </w:p>
    <w:p>
      <w:pPr>
        <w:spacing w:after="60"/>
        <w:ind w:firstLine="567"/>
        <w:jc w:val="both"/>
      </w:pPr>
      <w:r>
        <w:rPr>
          <w:rFonts w:ascii="Arial" w:cs="Arial" w:eastAsia="Arial" w:hAnsi="Arial"/>
          <w:sz w:val="24"/>
          <w:szCs w:val="24"/>
        </w:rPr>
        <w:t xml:space="preserve">- усиление мониторинга курсов валют и контроля за процессом рыночного ценообразования;</w:t>
      </w:r>
    </w:p>
    <w:p>
      <w:pPr>
        <w:spacing w:after="60"/>
        <w:ind w:firstLine="567"/>
        <w:jc w:val="both"/>
      </w:pPr>
      <w:r>
        <w:rPr>
          <w:rFonts w:ascii="Arial" w:cs="Arial" w:eastAsia="Arial" w:hAnsi="Arial"/>
          <w:sz w:val="24"/>
          <w:szCs w:val="24"/>
        </w:rPr>
        <w:t xml:space="preserve">- мониторинг цен на социально значимые товары и услуги (мука, хлеб, мясо, молоко, масло, сахар, ГСМ и другое);</w:t>
      </w:r>
    </w:p>
    <w:p>
      <w:pPr>
        <w:spacing w:after="60"/>
        <w:ind w:firstLine="567"/>
        <w:jc w:val="both"/>
      </w:pPr>
      <w:r>
        <w:rPr>
          <w:rFonts w:ascii="Arial" w:cs="Arial" w:eastAsia="Arial" w:hAnsi="Arial"/>
          <w:sz w:val="24"/>
          <w:szCs w:val="24"/>
        </w:rPr>
        <w:t xml:space="preserve">- запуск механизма кредитования экспортоориентированных отраслей экономики;</w:t>
      </w:r>
    </w:p>
    <w:p>
      <w:pPr>
        <w:spacing w:after="60"/>
        <w:ind w:firstLine="567"/>
        <w:jc w:val="both"/>
      </w:pPr>
      <w:r>
        <w:rPr>
          <w:rFonts w:ascii="Arial" w:cs="Arial" w:eastAsia="Arial" w:hAnsi="Arial"/>
          <w:sz w:val="24"/>
          <w:szCs w:val="24"/>
        </w:rPr>
        <w:t xml:space="preserve">- улучшение благоприятного инвестиционного климата для снижения оттока капитала;</w:t>
      </w:r>
    </w:p>
    <w:p>
      <w:pPr>
        <w:spacing w:after="60"/>
        <w:ind w:firstLine="567"/>
        <w:jc w:val="both"/>
      </w:pPr>
      <w:r>
        <w:rPr>
          <w:rFonts w:ascii="Arial" w:cs="Arial" w:eastAsia="Arial" w:hAnsi="Arial"/>
          <w:sz w:val="24"/>
          <w:szCs w:val="24"/>
        </w:rPr>
        <w:t xml:space="preserve">- проведение анализа платежного баланса Кыргызской Республики и подготовка предложений по стимулированию импортозамещения;</w:t>
      </w:r>
    </w:p>
    <w:p>
      <w:pPr>
        <w:spacing w:after="60"/>
        <w:ind w:firstLine="567"/>
        <w:jc w:val="both"/>
      </w:pPr>
      <w:r>
        <w:rPr>
          <w:rFonts w:ascii="Arial" w:cs="Arial" w:eastAsia="Arial" w:hAnsi="Arial"/>
          <w:sz w:val="24"/>
          <w:szCs w:val="24"/>
        </w:rPr>
        <w:t xml:space="preserve">- совершенствование структуры отраслей экономики (диверсификация экономики);</w:t>
      </w:r>
    </w:p>
    <w:p>
      <w:pPr>
        <w:spacing w:after="60"/>
        <w:ind w:firstLine="567"/>
        <w:jc w:val="both"/>
      </w:pPr>
      <w:r>
        <w:rPr>
          <w:rFonts w:ascii="Arial" w:cs="Arial" w:eastAsia="Arial" w:hAnsi="Arial"/>
          <w:sz w:val="24"/>
          <w:szCs w:val="24"/>
        </w:rPr>
        <w:t xml:space="preserve">- разработка комплексного плана развития сельскохозяйственных рынков и ярмарок "выходного дня";</w:t>
      </w:r>
    </w:p>
    <w:p>
      <w:pPr>
        <w:spacing w:after="60"/>
        <w:ind w:firstLine="567"/>
        <w:jc w:val="both"/>
      </w:pPr>
      <w:r>
        <w:rPr>
          <w:rFonts w:ascii="Arial" w:cs="Arial" w:eastAsia="Arial" w:hAnsi="Arial"/>
          <w:sz w:val="24"/>
          <w:szCs w:val="24"/>
        </w:rPr>
        <w:t xml:space="preserve">- широкое освещение в СМИ (организация регулярных теле- и радиопередач, пресс-конференций);</w:t>
      </w:r>
    </w:p>
    <w:p>
      <w:pPr>
        <w:spacing w:after="60"/>
        <w:ind w:firstLine="567"/>
        <w:jc w:val="both"/>
      </w:pPr>
      <w:r>
        <w:rPr>
          <w:rFonts w:ascii="Arial" w:cs="Arial" w:eastAsia="Arial" w:hAnsi="Arial"/>
          <w:sz w:val="24"/>
          <w:szCs w:val="24"/>
        </w:rPr>
        <w:t xml:space="preserve">- проведение рабочих встреч, "круглых столов", переговоров с бизнес-ассоциациями (ассоциацией нефтетрейдеров, ассоциацией поставщиков и др.).</w:t>
      </w:r>
    </w:p>
    <w:p>
      <w:pPr>
        <w:spacing w:after="60"/>
        <w:ind w:firstLine="567"/>
        <w:jc w:val="both"/>
      </w:pPr>
      <w:r>
        <w:rPr>
          <w:rFonts w:ascii="Arial" w:cs="Arial" w:eastAsia="Arial" w:hAnsi="Arial"/>
          <w:sz w:val="24"/>
          <w:szCs w:val="24"/>
        </w:rPr>
        <w:t xml:space="preserve">В целях сглаживания колебаний обменного курса, в случае необходимости, Национальным банком Кыргызской Республики проводятся валютные интервенции по покупке и продаже иностранной валюты.</w:t>
      </w:r>
    </w:p>
    <w:p>
      <w:pPr>
        <w:spacing w:after="60"/>
        <w:ind w:firstLine="567"/>
        <w:jc w:val="both"/>
      </w:pPr>
      <w:r>
        <w:rPr>
          <w:rFonts w:ascii="Arial" w:cs="Arial" w:eastAsia="Arial" w:hAnsi="Arial"/>
          <w:sz w:val="24"/>
          <w:szCs w:val="24"/>
        </w:rPr>
        <w:t xml:space="preserve">В региональном разрезе основная доля производства ВВП в 2015 году будет обеспечиваться за счет функционирования экономик города Бишкек, Чуйской, Иссык-Кульской, Джалал-Абадской областей, с удельным весом 77,6%, суммарный вклад которых в ВВП республики составил 2,27%. Значительная доля в общем объеме производства ВВП Джалал-Абадской (11,3%) и Иссык-Кульской (10,7%) областей связана с тем, что на территории Джалал-Абадской области производится около 90,0% вырабатываемой в республике электроэнергии, а на территории Иссык-Кульской области расположены предприятия по разработке месторождения Кумтор.</w:t>
      </w:r>
    </w:p>
    <w:p>
      <w:pPr>
        <w:spacing w:after="60"/>
        <w:ind w:firstLine="567"/>
        <w:jc w:val="both"/>
      </w:pPr>
      <w:r>
        <w:rPr>
          <w:rFonts w:ascii="Arial" w:cs="Arial" w:eastAsia="Arial" w:hAnsi="Arial"/>
          <w:sz w:val="24"/>
          <w:szCs w:val="24"/>
        </w:rPr>
        <w:t xml:space="preserve">Оставшаяся часть доли производства ВВП распределилась с наименьшим вкладом на уровне 0,79% - Ошская, Баткенская, Нарынская, Таласская области и город Ош.</w:t>
      </w:r>
    </w:p>
    <w:p>
      <w:pPr>
        <w:spacing w:after="60" w:before="120"/>
        <w:ind w:firstLine="567"/>
        <w:jc w:val="right"/>
      </w:pPr>
      <w:r>
        <w:rPr>
          <w:rFonts w:ascii="Arial" w:cs="Arial" w:eastAsia="Arial" w:hAnsi="Arial"/>
          <w:sz w:val="24"/>
          <w:szCs w:val="24"/>
        </w:rPr>
        <w:t xml:space="preserve">Таблица 8</w:t>
      </w:r>
    </w:p>
    <w:p>
      <w:pPr>
        <w:spacing w:after="200" w:before="200"/>
        <w:jc w:val="center"/>
      </w:pPr>
      <w:r>
        <w:rPr>
          <w:rFonts w:ascii="Arial" w:cs="Arial" w:eastAsia="Arial" w:hAnsi="Arial"/>
          <w:b/>
          <w:bCs/>
          <w:sz w:val="32"/>
          <w:szCs w:val="32"/>
        </w:rPr>
        <w:t xml:space="preserve">Вклады регионов в производство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92"/>
        <w:gridCol w:w="1290"/>
        <w:gridCol w:w="1290"/>
        <w:gridCol w:w="1327"/>
        <w:gridCol w:w="1327"/>
        <w:gridCol w:w="1327"/>
        <w:gridCol w:w="1327"/>
      </w:tblGrid>
      <w:tr>
        <w:tc>
          <w:tcPr>
            <w:tcW w:type="dxa" w:w="229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58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год, предв. факт</w:t>
            </w:r>
          </w:p>
        </w:tc>
        <w:tc>
          <w:tcPr>
            <w:tcW w:type="dxa" w:w="530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 ожид.</w:t>
            </w:r>
          </w:p>
        </w:tc>
      </w:tr>
      <w:tr>
        <w:tc>
          <w:tcPr>
            <w:vMerge w:val="continue"/>
            <w:tcBorders>
              <w:top w:val="single" w:color="CBBF9E" w:sz="4"/>
              <w:left w:val="single" w:color="CBBF9E" w:sz="4"/>
              <w:bottom w:val="single" w:color="CBBF9E" w:sz="4"/>
              <w:right w:val="single" w:color="CBBF9E" w:sz="4"/>
            </w:tcBorders>
          </w:tcP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вклад в рост ВВП, п.п.</w:t>
            </w:r>
          </w:p>
        </w:tc>
      </w:tr>
      <w:tr>
        <w:tc>
          <w:tcPr>
            <w:tcW w:type="dxa" w:w="2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(республика)</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397277,1</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437772,7</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r>
      <w:tr>
        <w:tc>
          <w:tcPr>
            <w:tcW w:type="dxa" w:w="2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15666,8</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96,2</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16673,2</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r>
      <w:tr>
        <w:tc>
          <w:tcPr>
            <w:tcW w:type="dxa" w:w="2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44672,9</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49515,9</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11,31</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0,37</w:t>
            </w:r>
          </w:p>
        </w:tc>
      </w:tr>
      <w:tr>
        <w:tc>
          <w:tcPr>
            <w:tcW w:type="dxa" w:w="2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48557,0</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97,4</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47023,4</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96,9</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w:t>
            </w:r>
          </w:p>
        </w:tc>
      </w:tr>
      <w:tr>
        <w:tc>
          <w:tcPr>
            <w:tcW w:type="dxa" w:w="2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11787,7</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13178,2</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w:t>
            </w:r>
          </w:p>
        </w:tc>
      </w:tr>
      <w:tr>
        <w:tc>
          <w:tcPr>
            <w:tcW w:type="dxa" w:w="2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29722,3</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33547,4</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7,66</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0,36</w:t>
            </w:r>
          </w:p>
        </w:tc>
      </w:tr>
      <w:tr>
        <w:tc>
          <w:tcPr>
            <w:tcW w:type="dxa" w:w="2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12408,3</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13645,7</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w:t>
            </w:r>
          </w:p>
        </w:tc>
      </w:tr>
      <w:tr>
        <w:tc>
          <w:tcPr>
            <w:tcW w:type="dxa" w:w="2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53834,8</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59780,7</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13,66</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0,53</w:t>
            </w:r>
          </w:p>
        </w:tc>
      </w:tr>
      <w:tr>
        <w:tc>
          <w:tcPr>
            <w:tcW w:type="dxa" w:w="2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161956,3</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183510</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41,92</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r>
      <w:tr>
        <w:tc>
          <w:tcPr>
            <w:tcW w:type="dxa" w:w="2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18671,1</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20898,2</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w:t>
            </w:r>
          </w:p>
        </w:tc>
      </w:tr>
    </w:tbl>
    <w:p>
      <w:pPr>
        <w:spacing w:after="60" w:before="120"/>
        <w:ind w:firstLine="567"/>
        <w:jc w:val="both"/>
      </w:pPr>
      <w:r>
        <w:rPr>
          <w:rFonts w:ascii="Arial" w:cs="Arial" w:eastAsia="Arial" w:hAnsi="Arial"/>
          <w:sz w:val="24"/>
          <w:szCs w:val="24"/>
        </w:rPr>
        <w:t xml:space="preserve">Исходя из ожидаемых параметров развития экономики в 2015 году, основные социальные показатели, характеризующие уровень жизни, будут складываться следующим образом:</w:t>
      </w:r>
    </w:p>
    <w:p>
      <w:pPr>
        <w:spacing w:after="60"/>
        <w:ind w:firstLine="567"/>
        <w:jc w:val="both"/>
      </w:pPr>
      <w:r>
        <w:rPr>
          <w:rFonts w:ascii="Arial" w:cs="Arial" w:eastAsia="Arial" w:hAnsi="Arial"/>
          <w:sz w:val="24"/>
          <w:szCs w:val="24"/>
        </w:rPr>
        <w:t xml:space="preserve">- объем ВВП на душу населения в 2015 году увеличится на 7,9% и ожидается в размере 76,8 тыс. сомов;</w:t>
      </w:r>
    </w:p>
    <w:p>
      <w:pPr>
        <w:spacing w:after="60"/>
        <w:ind w:firstLine="567"/>
        <w:jc w:val="both"/>
      </w:pPr>
      <w:r>
        <w:rPr>
          <w:rFonts w:ascii="Arial" w:cs="Arial" w:eastAsia="Arial" w:hAnsi="Arial"/>
          <w:sz w:val="24"/>
          <w:szCs w:val="24"/>
        </w:rPr>
        <w:t xml:space="preserve">- ожидается, что денежные доходы населения номинально возрастут на 11,9%, а реальный темп прироста денежных доходов с учетом ожидаемого роста потребительских цен - на 4,4%;</w:t>
      </w:r>
    </w:p>
    <w:p>
      <w:pPr>
        <w:spacing w:after="60"/>
        <w:ind w:firstLine="567"/>
        <w:jc w:val="both"/>
      </w:pPr>
      <w:r>
        <w:rPr>
          <w:rFonts w:ascii="Arial" w:cs="Arial" w:eastAsia="Arial" w:hAnsi="Arial"/>
          <w:sz w:val="24"/>
          <w:szCs w:val="24"/>
        </w:rPr>
        <w:t xml:space="preserve">- в структуре денежных доходов ожидается рост "заработной платы", где среднемесячный номинальный размер возрастет на 8,3%, а реальный рост - на 1,0%. Номинальный размер среднемесячной пенсии увеличится на 3,0%, а ее реальный размер снизится на 3,9%;</w:t>
      </w:r>
    </w:p>
    <w:p>
      <w:pPr>
        <w:spacing w:after="60"/>
        <w:ind w:firstLine="567"/>
        <w:jc w:val="both"/>
      </w:pPr>
      <w:r>
        <w:rPr>
          <w:rFonts w:ascii="Arial" w:cs="Arial" w:eastAsia="Arial" w:hAnsi="Arial"/>
          <w:sz w:val="24"/>
          <w:szCs w:val="24"/>
        </w:rPr>
        <w:t xml:space="preserve">- создание рабочих мест и рост численности занятых в экономике ожидается за счет мер политики в области занятости населения, направленных на определение спроса и предложения на рынке труда; совершенствование профессиональной подготовки и переподготовки безработных граждан; активных мер по созданию рабочих мест посредством выдачи микрокредитов.</w:t>
      </w:r>
    </w:p>
    <w:p>
      <w:pPr>
        <w:spacing w:after="200" w:before="200"/>
        <w:jc w:val="center"/>
      </w:pPr>
      <w:r>
        <w:rPr>
          <w:rFonts w:ascii="Arial" w:cs="Arial" w:eastAsia="Arial" w:hAnsi="Arial"/>
          <w:b/>
          <w:bCs/>
          <w:sz w:val="32"/>
          <w:szCs w:val="32"/>
        </w:rPr>
        <w:t xml:space="preserve">V</w:t>
      </w:r>
      <w:r>
        <w:rPr>
          <w:rFonts w:ascii="Arial" w:cs="Arial" w:eastAsia="Arial" w:hAnsi="Arial"/>
          <w:b/>
          <w:bCs/>
          <w:sz w:val="32"/>
          <w:szCs w:val="32"/>
        </w:rPr>
        <w:t xml:space="preserve">. Макроэкономический прогноз на 2016 год</w:t>
      </w:r>
    </w:p>
    <w:p>
      <w:pPr>
        <w:spacing w:after="200" w:before="200"/>
        <w:jc w:val="center"/>
      </w:pPr>
      <w:r>
        <w:rPr>
          <w:rFonts w:ascii="Arial" w:cs="Arial" w:eastAsia="Arial" w:hAnsi="Arial"/>
          <w:b/>
          <w:bCs/>
          <w:sz w:val="32"/>
          <w:szCs w:val="32"/>
        </w:rPr>
        <w:t xml:space="preserve">1. Макроэкономическая политика</w:t>
      </w:r>
    </w:p>
    <w:p>
      <w:pPr>
        <w:spacing w:after="60"/>
        <w:ind w:firstLine="567"/>
        <w:jc w:val="both"/>
      </w:pPr>
      <w:r>
        <w:rPr>
          <w:rFonts w:ascii="Arial" w:cs="Arial" w:eastAsia="Arial" w:hAnsi="Arial"/>
          <w:sz w:val="24"/>
          <w:szCs w:val="24"/>
        </w:rPr>
        <w:t xml:space="preserve">Главной целью экономической политики на 2016 год является сохранение макроэкономической стабильности и обеспечение положительной динамики экономического роста во всех секторах экономики для выхода на устойчивые темпы экономического роста.</w:t>
      </w:r>
    </w:p>
    <w:p>
      <w:pPr>
        <w:spacing w:after="60"/>
        <w:ind w:firstLine="567"/>
        <w:jc w:val="both"/>
      </w:pPr>
      <w:r>
        <w:rPr>
          <w:rFonts w:ascii="Arial" w:cs="Arial" w:eastAsia="Arial" w:hAnsi="Arial"/>
          <w:sz w:val="24"/>
          <w:szCs w:val="24"/>
        </w:rPr>
        <w:t xml:space="preserve">В основу разработки макроэкономической политики на 2016 год заложены следующие предпосылки и условия:</w:t>
      </w:r>
    </w:p>
    <w:p>
      <w:pPr>
        <w:spacing w:after="60"/>
        <w:ind w:firstLine="567"/>
        <w:jc w:val="both"/>
      </w:pPr>
      <w:r>
        <w:rPr>
          <w:rFonts w:ascii="Arial" w:cs="Arial" w:eastAsia="Arial" w:hAnsi="Arial"/>
          <w:sz w:val="24"/>
          <w:szCs w:val="24"/>
        </w:rPr>
        <w:t xml:space="preserve">благоприятные внешние факторы воздействия:</w:t>
      </w:r>
    </w:p>
    <w:p>
      <w:pPr>
        <w:spacing w:after="60"/>
        <w:ind w:firstLine="567"/>
        <w:jc w:val="both"/>
      </w:pPr>
      <w:r>
        <w:rPr>
          <w:rFonts w:ascii="Arial" w:cs="Arial" w:eastAsia="Arial" w:hAnsi="Arial"/>
          <w:sz w:val="24"/>
          <w:szCs w:val="24"/>
        </w:rPr>
        <w:t xml:space="preserve">- политическая стабильность в регионе и странах - основных торговых партнерах;</w:t>
      </w:r>
    </w:p>
    <w:p>
      <w:pPr>
        <w:spacing w:after="60"/>
        <w:ind w:firstLine="567"/>
        <w:jc w:val="both"/>
      </w:pPr>
      <w:r>
        <w:rPr>
          <w:rFonts w:ascii="Arial" w:cs="Arial" w:eastAsia="Arial" w:hAnsi="Arial"/>
          <w:sz w:val="24"/>
          <w:szCs w:val="24"/>
        </w:rPr>
        <w:t xml:space="preserve">- постепенное оздоровление мировой экономики (прогнозируемый рост экономики до 3,9%);</w:t>
      </w:r>
    </w:p>
    <w:p>
      <w:pPr>
        <w:spacing w:after="60"/>
        <w:ind w:firstLine="567"/>
        <w:jc w:val="both"/>
      </w:pPr>
      <w:r>
        <w:rPr>
          <w:rFonts w:ascii="Arial" w:cs="Arial" w:eastAsia="Arial" w:hAnsi="Arial"/>
          <w:sz w:val="24"/>
          <w:szCs w:val="24"/>
        </w:rPr>
        <w:t xml:space="preserve">- прогнозируемый экономический рост в соседних государствах - России (2,3%)(15), Казахстане (4,1%)(16), Китае (6,3%)(17);</w:t>
      </w:r>
    </w:p>
    <w:p>
      <w:pPr>
        <w:spacing w:after="60"/>
        <w:ind w:firstLine="567"/>
        <w:jc w:val="both"/>
      </w:pPr>
      <w:r>
        <w:rPr>
          <w:rFonts w:ascii="Arial" w:cs="Arial" w:eastAsia="Arial" w:hAnsi="Arial"/>
          <w:sz w:val="24"/>
          <w:szCs w:val="24"/>
        </w:rPr>
        <w:t xml:space="preserve">- прогнозируемый умеренный рост инфляции в странах - основных торговых партнерах Кыргызской Республики в России (7,0%), Казахстане (5,0%), Китае (1,5%);</w:t>
      </w:r>
    </w:p>
    <w:p>
      <w:pPr>
        <w:spacing w:after="60"/>
        <w:ind w:firstLine="567"/>
        <w:jc w:val="both"/>
      </w:pPr>
      <w:r>
        <w:rPr>
          <w:rFonts w:ascii="Arial" w:cs="Arial" w:eastAsia="Arial" w:hAnsi="Arial"/>
          <w:sz w:val="24"/>
          <w:szCs w:val="24"/>
        </w:rPr>
        <w:t xml:space="preserve">- расширение внешнеэкономического сотрудничества в рамках Шанхайской организации сотрудничества, СНГ, активное использование членства Кыргызской Республики в ЕАЭС и ВТО, углубление сотрудничества с международными экономическими и финансовыми организациями;</w:t>
      </w:r>
    </w:p>
    <w:p>
      <w:pPr>
        <w:spacing w:after="60"/>
        <w:ind w:firstLine="567"/>
        <w:jc w:val="both"/>
      </w:pPr>
      <w:r>
        <w:rPr>
          <w:rFonts w:ascii="Arial" w:cs="Arial" w:eastAsia="Arial" w:hAnsi="Arial"/>
          <w:sz w:val="24"/>
          <w:szCs w:val="24"/>
        </w:rPr>
        <w:t xml:space="preserve">- расширение доступа для приобретения необходимых материально-технических ресурсов; сельскохозяйственных машин и оборудования, минеральных удобрений и горюче-смазочных материалов - благодаря вхождению в ЕАЭС;</w:t>
      </w:r>
    </w:p>
    <w:p>
      <w:pPr>
        <w:spacing w:after="60"/>
        <w:ind w:firstLine="567"/>
        <w:jc w:val="both"/>
      </w:pPr>
      <w:r>
        <w:rPr>
          <w:rFonts w:ascii="Arial" w:cs="Arial" w:eastAsia="Arial" w:hAnsi="Arial"/>
          <w:sz w:val="24"/>
          <w:szCs w:val="24"/>
        </w:rPr>
        <w:t xml:space="preserve">неблагоприятные внешние факторы воздействия:</w:t>
      </w:r>
    </w:p>
    <w:p>
      <w:pPr>
        <w:spacing w:after="60"/>
        <w:ind w:firstLine="567"/>
        <w:jc w:val="both"/>
      </w:pPr>
      <w:r>
        <w:rPr>
          <w:rFonts w:ascii="Arial" w:cs="Arial" w:eastAsia="Arial" w:hAnsi="Arial"/>
          <w:sz w:val="24"/>
          <w:szCs w:val="24"/>
        </w:rPr>
        <w:t xml:space="preserve">- сохранение неустойчивости мировой экономики;</w:t>
      </w:r>
    </w:p>
    <w:p>
      <w:pPr>
        <w:spacing w:after="60"/>
        <w:ind w:firstLine="567"/>
        <w:jc w:val="both"/>
      </w:pPr>
      <w:r>
        <w:rPr>
          <w:rFonts w:ascii="Arial" w:cs="Arial" w:eastAsia="Arial" w:hAnsi="Arial"/>
          <w:sz w:val="24"/>
          <w:szCs w:val="24"/>
        </w:rPr>
        <w:t xml:space="preserve">- зависимость внутреннего рынка от импорта продовольственной группы товаров (мука, растительное масло, сахар, крупы и т.д.), ГСМ;</w:t>
      </w:r>
    </w:p>
    <w:p>
      <w:pPr>
        <w:spacing w:after="60"/>
        <w:ind w:firstLine="567"/>
        <w:jc w:val="both"/>
      </w:pPr>
      <w:r>
        <w:rPr>
          <w:rFonts w:ascii="Arial" w:cs="Arial" w:eastAsia="Arial" w:hAnsi="Arial"/>
          <w:sz w:val="24"/>
          <w:szCs w:val="24"/>
        </w:rPr>
        <w:t xml:space="preserve">- волатильность мировых цен на золото;</w:t>
      </w:r>
    </w:p>
    <w:p>
      <w:pPr>
        <w:spacing w:after="60"/>
        <w:ind w:firstLine="567"/>
        <w:jc w:val="both"/>
      </w:pPr>
      <w:r>
        <w:rPr>
          <w:rFonts w:ascii="Arial" w:cs="Arial" w:eastAsia="Arial" w:hAnsi="Arial"/>
          <w:sz w:val="24"/>
          <w:szCs w:val="24"/>
        </w:rPr>
        <w:t xml:space="preserve">- функционирование экономики в условиях присоединения к ЕАЭС (сокращение торговой активности оптовых рынков, челночной торговли за счет влияния условий ЕАЭС, которое, в свою очередь, в краткосрочном периоде окажет существенное влияние на занятость; выравнивание уровня цен Кыргызской Республики с российскими и казахстанскими ценами, приведет к определенному инфляционному давлению и росту цен);</w:t>
      </w:r>
    </w:p>
    <w:p>
      <w:pPr>
        <w:spacing w:after="60"/>
        <w:ind w:firstLine="567"/>
        <w:jc w:val="both"/>
      </w:pPr>
      <w:r>
        <w:rPr>
          <w:rFonts w:ascii="Arial" w:cs="Arial" w:eastAsia="Arial" w:hAnsi="Arial"/>
          <w:sz w:val="24"/>
          <w:szCs w:val="24"/>
        </w:rPr>
        <w:t xml:space="preserve">благоприятные внутренние факторы воздействия:</w:t>
      </w:r>
    </w:p>
    <w:p>
      <w:pPr>
        <w:spacing w:after="60"/>
        <w:ind w:firstLine="567"/>
        <w:jc w:val="both"/>
      </w:pPr>
      <w:r>
        <w:rPr>
          <w:rFonts w:ascii="Arial" w:cs="Arial" w:eastAsia="Arial" w:hAnsi="Arial"/>
          <w:sz w:val="24"/>
          <w:szCs w:val="24"/>
        </w:rPr>
        <w:t xml:space="preserve">- сдерживание резких колебаний обменного курса инструментами денежно-кредитной политики;</w:t>
      </w:r>
    </w:p>
    <w:p>
      <w:pPr>
        <w:spacing w:after="60"/>
        <w:ind w:firstLine="567"/>
        <w:jc w:val="both"/>
      </w:pPr>
      <w:r>
        <w:rPr>
          <w:rFonts w:ascii="Arial" w:cs="Arial" w:eastAsia="Arial" w:hAnsi="Arial"/>
          <w:sz w:val="24"/>
          <w:szCs w:val="24"/>
        </w:rPr>
        <w:t xml:space="preserve">- эффект от ранее выданных льготных кредитов;</w:t>
      </w:r>
    </w:p>
    <w:p>
      <w:pPr>
        <w:spacing w:after="60"/>
        <w:ind w:firstLine="567"/>
        <w:jc w:val="both"/>
      </w:pPr>
      <w:r>
        <w:rPr>
          <w:rFonts w:ascii="Arial" w:cs="Arial" w:eastAsia="Arial" w:hAnsi="Arial"/>
          <w:sz w:val="24"/>
          <w:szCs w:val="24"/>
        </w:rPr>
        <w:t xml:space="preserve">- проведение сельскохозяйственной переписи в Кыргызской Республике (постановление Правительства Кыргызской Республики от 25 декабря 2012 года № 854), которая позволит выявить дополнительные резервы аграрной отрасли;</w:t>
      </w:r>
    </w:p>
    <w:p>
      <w:pPr>
        <w:spacing w:after="60"/>
        <w:ind w:firstLine="567"/>
        <w:jc w:val="both"/>
      </w:pPr>
      <w:r>
        <w:rPr>
          <w:rFonts w:ascii="Arial" w:cs="Arial" w:eastAsia="Arial" w:hAnsi="Arial"/>
          <w:sz w:val="24"/>
          <w:szCs w:val="24"/>
        </w:rPr>
        <w:t xml:space="preserve">- стабильная работа действующих и наращивание объемов введенных предприятий;</w:t>
      </w:r>
    </w:p>
    <w:p>
      <w:pPr>
        <w:spacing w:after="60"/>
        <w:ind w:firstLine="567"/>
        <w:jc w:val="both"/>
      </w:pPr>
      <w:r>
        <w:rPr>
          <w:rFonts w:ascii="Arial" w:cs="Arial" w:eastAsia="Arial" w:hAnsi="Arial"/>
          <w:sz w:val="24"/>
          <w:szCs w:val="24"/>
        </w:rPr>
        <w:t xml:space="preserve">- продолжение предоставления льготных кредитов сельскохозяйственным производителям;</w:t>
      </w:r>
    </w:p>
    <w:p>
      <w:pPr>
        <w:spacing w:after="60"/>
        <w:ind w:firstLine="567"/>
        <w:jc w:val="both"/>
      </w:pPr>
      <w:r>
        <w:rPr>
          <w:rFonts w:ascii="Arial" w:cs="Arial" w:eastAsia="Arial" w:hAnsi="Arial"/>
          <w:sz w:val="24"/>
          <w:szCs w:val="24"/>
        </w:rPr>
        <w:t xml:space="preserve">- реализация крупных инвестиционных проектов в соответствии с Программой по переходу Кыргызской Республики к устойчивому развитию на 2013-2017 годы;</w:t>
      </w:r>
    </w:p>
    <w:p>
      <w:pPr>
        <w:spacing w:after="60"/>
        <w:ind w:firstLine="567"/>
        <w:jc w:val="both"/>
      </w:pPr>
      <w:r>
        <w:rPr>
          <w:rFonts w:ascii="Arial" w:cs="Arial" w:eastAsia="Arial" w:hAnsi="Arial"/>
          <w:sz w:val="24"/>
          <w:szCs w:val="24"/>
        </w:rPr>
        <w:t xml:space="preserve">- создание благоприятных условий для предпринимательства и инвесторов;</w:t>
      </w:r>
    </w:p>
    <w:p>
      <w:pPr>
        <w:spacing w:after="60"/>
        <w:ind w:firstLine="567"/>
        <w:jc w:val="both"/>
      </w:pPr>
      <w:r>
        <w:rPr>
          <w:rFonts w:ascii="Arial" w:cs="Arial" w:eastAsia="Arial" w:hAnsi="Arial"/>
          <w:sz w:val="24"/>
          <w:szCs w:val="24"/>
        </w:rPr>
        <w:t xml:space="preserve">- содействие занятости населения, создание новых рабочих мест путем выдачи микрокредитов;</w:t>
      </w:r>
    </w:p>
    <w:p>
      <w:pPr>
        <w:spacing w:after="60"/>
        <w:ind w:firstLine="567"/>
        <w:jc w:val="both"/>
      </w:pPr>
      <w:r>
        <w:rPr>
          <w:rFonts w:ascii="Arial" w:cs="Arial" w:eastAsia="Arial" w:hAnsi="Arial"/>
          <w:sz w:val="24"/>
          <w:szCs w:val="24"/>
        </w:rPr>
        <w:t xml:space="preserve">неблагоприятные внутренние факторы воздействия:</w:t>
      </w:r>
    </w:p>
    <w:p>
      <w:pPr>
        <w:spacing w:after="60"/>
        <w:ind w:firstLine="567"/>
        <w:jc w:val="both"/>
      </w:pPr>
      <w:r>
        <w:rPr>
          <w:rFonts w:ascii="Arial" w:cs="Arial" w:eastAsia="Arial" w:hAnsi="Arial"/>
          <w:sz w:val="24"/>
          <w:szCs w:val="24"/>
        </w:rPr>
        <w:t xml:space="preserve">- риски повышения уровня инфляции за счет роста цен на продовольственные товары;</w:t>
      </w:r>
    </w:p>
    <w:p>
      <w:pPr>
        <w:spacing w:after="60"/>
        <w:ind w:firstLine="567"/>
        <w:jc w:val="both"/>
      </w:pPr>
      <w:r>
        <w:rPr>
          <w:rFonts w:ascii="Arial" w:cs="Arial" w:eastAsia="Arial" w:hAnsi="Arial"/>
          <w:sz w:val="24"/>
          <w:szCs w:val="24"/>
        </w:rPr>
        <w:t xml:space="preserve">- умеренный рост объемов услуг из-за сдержанных темпов реального роста внутренней торговли в результате увеличения себестоимости импортируемых товаров.</w:t>
      </w:r>
    </w:p>
    <w:p>
      <w:pPr>
        <w:spacing w:after="60"/>
        <w:ind w:firstLine="567"/>
        <w:jc w:val="both"/>
      </w:pPr>
      <w:r>
        <w:rPr>
          <w:rFonts w:ascii="Arial" w:cs="Arial" w:eastAsia="Arial" w:hAnsi="Arial"/>
          <w:sz w:val="24"/>
          <w:szCs w:val="24"/>
        </w:rPr>
        <w:t xml:space="preserve">Исходя из приведенных внешних и внутренних предпосылок и условий развития, согласно произведенным расчетам, основные социально-экономические показатели на 2016 год прогнозируются следующим образом:</w:t>
      </w:r>
    </w:p>
    <w:p>
      <w:pPr>
        <w:spacing w:after="120" w:before="120"/>
        <w:ind w:firstLine="567"/>
        <w:jc w:val="right"/>
      </w:pPr>
      <w:r>
        <w:rPr>
          <w:rFonts w:ascii="Arial" w:cs="Arial" w:eastAsia="Arial" w:hAnsi="Arial"/>
          <w:sz w:val="24"/>
          <w:szCs w:val="24"/>
        </w:rPr>
        <w:t xml:space="preserve">Таблица 9</w:t>
      </w:r>
    </w:p>
    <w:p>
      <w:pPr>
        <w:spacing w:after="200" w:before="200"/>
        <w:jc w:val="center"/>
      </w:pPr>
      <w:r>
        <w:rPr>
          <w:rFonts w:ascii="Arial" w:cs="Arial" w:eastAsia="Arial" w:hAnsi="Arial"/>
          <w:b/>
          <w:bCs/>
          <w:sz w:val="32"/>
          <w:szCs w:val="32"/>
        </w:rPr>
        <w:t xml:space="preserve">Структура и темпы роста по секторам, формирующим ВВП(18)</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23"/>
        <w:gridCol w:w="994"/>
        <w:gridCol w:w="994"/>
        <w:gridCol w:w="994"/>
        <w:gridCol w:w="994"/>
        <w:gridCol w:w="994"/>
        <w:gridCol w:w="994"/>
        <w:gridCol w:w="994"/>
        <w:gridCol w:w="994"/>
      </w:tblGrid>
      <w:tr>
        <w:tc>
          <w:tcPr>
            <w:tcW w:type="dxa" w:w="222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w:t>
            </w:r>
          </w:p>
        </w:tc>
        <w:tc>
          <w:tcPr>
            <w:tcW w:type="dxa" w:w="397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r>
      <w:tr>
        <w:tc>
          <w:tcPr>
            <w:vMerge w:val="continue"/>
            <w:tcBorders>
              <w:top w:val="single" w:color="CBBF9E" w:sz="4"/>
              <w:left w:val="single" w:color="CBBF9E" w:sz="4"/>
              <w:bottom w:val="single" w:color="CBBF9E" w:sz="4"/>
              <w:right w:val="single" w:color="CBBF9E" w:sz="4"/>
            </w:tcBorders>
          </w:tcP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
 (млн. сомов)</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(млн. сомов)</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r>
      <w:tr>
        <w:tc>
          <w:tcPr>
            <w:tcW w:type="dxa" w:w="2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437772,7</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501582,5</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r>
      <w:tr>
        <w:tc>
          <w:tcPr>
            <w:tcW w:type="dxa" w:w="2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63720,6</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71582,8</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0,36</w:t>
            </w:r>
          </w:p>
        </w:tc>
      </w:tr>
      <w:tr>
        <w:tc>
          <w:tcPr>
            <w:tcW w:type="dxa" w:w="2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64559,5</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72027,4</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r>
      <w:tr>
        <w:tc>
          <w:tcPr>
            <w:tcW w:type="dxa" w:w="2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34633,6</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0,88</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42284,5</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0,96</w:t>
            </w:r>
          </w:p>
        </w:tc>
      </w:tr>
      <w:tr>
        <w:tc>
          <w:tcPr>
            <w:tcW w:type="dxa" w:w="2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213094,4</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48,7</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245194,4</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48,9</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w:t>
            </w:r>
          </w:p>
        </w:tc>
      </w:tr>
      <w:tr>
        <w:tc>
          <w:tcPr>
            <w:tcW w:type="dxa" w:w="2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продуты и импорт</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61764,5</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0,48</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70493,5</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0,74</w:t>
            </w:r>
          </w:p>
        </w:tc>
      </w:tr>
    </w:tbl>
    <w:p>
      <w:pPr>
        <w:spacing w:after="60" w:before="120"/>
        <w:ind w:firstLine="567"/>
        <w:jc w:val="both"/>
      </w:pPr>
      <w:r>
        <w:rPr>
          <w:rFonts w:ascii="Arial" w:cs="Arial" w:eastAsia="Arial" w:hAnsi="Arial"/>
          <w:sz w:val="24"/>
          <w:szCs w:val="24"/>
        </w:rPr>
        <w:t xml:space="preserve">Номинальный объем ВВП прогнозируется в сумме 501,6 млрд. сомов, а реальный темп роста - 105,2%, дефлятор - 108,9%.</w:t>
      </w:r>
    </w:p>
    <w:p>
      <w:pPr>
        <w:spacing w:after="60"/>
        <w:ind w:firstLine="567"/>
        <w:jc w:val="both"/>
      </w:pPr>
      <w:r>
        <w:rPr>
          <w:rFonts w:ascii="Arial" w:cs="Arial" w:eastAsia="Arial" w:hAnsi="Arial"/>
          <w:sz w:val="24"/>
          <w:szCs w:val="24"/>
        </w:rPr>
        <w:t xml:space="preserve">Прогнозируемый экономический рост на уровне 5,2% будет обеспечиваться вкладом в ВВП всех секторов экономики. При этом наибольший вклад будет обеспечен со стороны сектора услуг - 1,73 процентного пункта, строительства - 0,96 процентного пункта, промышленности - 1,41 процентного пункта, суммарный вклад которых составит 4,1 процентного пункта, а вклад сельского хозяйства (0,36 процентного пункта) будет минимальным.</w:t>
      </w:r>
    </w:p>
    <w:p>
      <w:pPr>
        <w:spacing w:after="60"/>
        <w:ind w:firstLine="567"/>
        <w:jc w:val="both"/>
      </w:pPr>
      <w:r>
        <w:rPr>
          <w:rFonts w:ascii="Arial" w:cs="Arial" w:eastAsia="Arial" w:hAnsi="Arial"/>
          <w:sz w:val="24"/>
          <w:szCs w:val="24"/>
        </w:rPr>
        <w:t xml:space="preserve">В региональном разрезе основная доля производства ВВП в 2016 году будет обеспечиваться за счет функционирования экономики города Бишкек, Чуйской, Иссык-Кульской, Джалал-Абадской областей, с удельным весом 78,08%, суммарный вклад которых в ВВП республики составит 4,39%.</w:t>
      </w:r>
    </w:p>
    <w:p>
      <w:pPr>
        <w:spacing w:after="60"/>
        <w:ind w:firstLine="567"/>
        <w:jc w:val="both"/>
      </w:pPr>
      <w:r>
        <w:rPr>
          <w:rFonts w:ascii="Arial" w:cs="Arial" w:eastAsia="Arial" w:hAnsi="Arial"/>
          <w:sz w:val="24"/>
          <w:szCs w:val="24"/>
        </w:rPr>
        <w:t xml:space="preserve">Оставшаяся часть доли производства ВВП распределилась с наименьшим вкладом на уровне 0,85% между Ошской, Баткенской, Нарынской и Таласской областями и городом Ош.</w:t>
      </w:r>
    </w:p>
    <w:p>
      <w:pPr>
        <w:spacing w:after="120" w:before="120"/>
        <w:ind w:firstLine="567"/>
        <w:jc w:val="right"/>
      </w:pPr>
      <w:r>
        <w:rPr>
          <w:rFonts w:ascii="Arial" w:cs="Arial" w:eastAsia="Arial" w:hAnsi="Arial"/>
          <w:sz w:val="24"/>
          <w:szCs w:val="24"/>
        </w:rPr>
        <w:t xml:space="preserve">Таблица 10</w:t>
      </w:r>
    </w:p>
    <w:p>
      <w:pPr>
        <w:spacing w:after="200" w:before="200"/>
        <w:jc w:val="center"/>
      </w:pPr>
      <w:r>
        <w:rPr>
          <w:rFonts w:ascii="Arial" w:cs="Arial" w:eastAsia="Arial" w:hAnsi="Arial"/>
          <w:b/>
          <w:bCs/>
          <w:sz w:val="32"/>
          <w:szCs w:val="32"/>
        </w:rPr>
        <w:t xml:space="preserve">Вклады регионов в производство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70"/>
        <w:gridCol w:w="1323"/>
        <w:gridCol w:w="1323"/>
        <w:gridCol w:w="1340"/>
        <w:gridCol w:w="1340"/>
        <w:gridCol w:w="1340"/>
        <w:gridCol w:w="1340"/>
      </w:tblGrid>
      <w:tr>
        <w:tc>
          <w:tcPr>
            <w:tcW w:type="dxa" w:w="217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64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 ожид.</w:t>
            </w:r>
          </w:p>
        </w:tc>
        <w:tc>
          <w:tcPr>
            <w:tcW w:type="dxa" w:w="536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 прогноз</w:t>
            </w:r>
          </w:p>
        </w:tc>
      </w:tr>
      <w:tr>
        <w:tc>
          <w:tcPr>
            <w:vMerge w:val="continue"/>
            <w:tcBorders>
              <w:top w:val="single" w:color="CBBF9E" w:sz="4"/>
              <w:left w:val="single" w:color="CBBF9E" w:sz="4"/>
              <w:bottom w:val="single" w:color="CBBF9E" w:sz="4"/>
              <w:right w:val="single" w:color="CBBF9E" w:sz="4"/>
            </w:tcBorders>
          </w:tcP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вклад в рост ВВП, %</w:t>
            </w:r>
          </w:p>
        </w:tc>
      </w:tr>
      <w:tr>
        <w:tc>
          <w:tcPr>
            <w:tcW w:type="dxa" w:w="21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(республика)</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437772,7</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501582,5</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r>
      <w:tr>
        <w:tc>
          <w:tcPr>
            <w:tcW w:type="dxa" w:w="21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16673,2</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18288,4</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r>
      <w:tr>
        <w:tc>
          <w:tcPr>
            <w:tcW w:type="dxa" w:w="21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49515,9</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55993,6</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11,16</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0,55</w:t>
            </w:r>
          </w:p>
        </w:tc>
      </w:tr>
      <w:tr>
        <w:tc>
          <w:tcPr>
            <w:tcW w:type="dxa" w:w="21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47023,4</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96,9</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52596,8</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0,93</w:t>
            </w:r>
          </w:p>
        </w:tc>
      </w:tr>
      <w:tr>
        <w:tc>
          <w:tcPr>
            <w:tcW w:type="dxa" w:w="21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13178,2</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14827,4</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r>
      <w:tr>
        <w:tc>
          <w:tcPr>
            <w:tcW w:type="dxa" w:w="21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33547,4</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38032,6</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7,58</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w:t>
            </w:r>
          </w:p>
        </w:tc>
      </w:tr>
      <w:tr>
        <w:tc>
          <w:tcPr>
            <w:tcW w:type="dxa" w:w="21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13645,7</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15280,1</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r>
      <w:tr>
        <w:tc>
          <w:tcPr>
            <w:tcW w:type="dxa" w:w="21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59780,7</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69778,4</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13,91</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0,89</w:t>
            </w:r>
          </w:p>
        </w:tc>
      </w:tr>
      <w:tr>
        <w:tc>
          <w:tcPr>
            <w:tcW w:type="dxa" w:w="21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183510</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213243,9</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42,51</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w:t>
            </w:r>
          </w:p>
        </w:tc>
      </w:tr>
      <w:tr>
        <w:tc>
          <w:tcPr>
            <w:tcW w:type="dxa" w:w="21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20898,2</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23541,3</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w:t>
            </w:r>
          </w:p>
        </w:tc>
      </w:tr>
    </w:tbl>
    <w:p>
      <w:pPr>
        <w:spacing w:after="60" w:before="120"/>
        <w:ind w:firstLine="567"/>
        <w:jc w:val="both"/>
      </w:pPr>
      <w:r>
        <w:rPr>
          <w:rFonts w:ascii="Arial" w:cs="Arial" w:eastAsia="Arial" w:hAnsi="Arial"/>
          <w:sz w:val="24"/>
          <w:szCs w:val="24"/>
        </w:rPr>
        <w:t xml:space="preserve">При этом следует отметить, что с учетом фактически сложившейся ситуации в экономике, с появлением новых факторов, направленных на снижение/рост ожидаемых показателей социально-экономического развития в 2015 году, прогнозируемые макроэкономические показатели на 2016 год будут скорректированы.</w:t>
      </w:r>
    </w:p>
    <w:p>
      <w:pPr>
        <w:spacing w:after="200" w:before="200"/>
        <w:jc w:val="center"/>
      </w:pPr>
      <w:r>
        <w:rPr>
          <w:rFonts w:ascii="Arial" w:cs="Arial" w:eastAsia="Arial" w:hAnsi="Arial"/>
          <w:b/>
          <w:bCs/>
          <w:sz w:val="32"/>
          <w:szCs w:val="32"/>
        </w:rPr>
        <w:t xml:space="preserve">2. Денежно-кредитная политика. Индекс потребительских цен</w:t>
      </w:r>
    </w:p>
    <w:p>
      <w:pPr>
        <w:spacing w:after="60"/>
        <w:ind w:firstLine="567"/>
        <w:jc w:val="both"/>
      </w:pPr>
      <w:r>
        <w:rPr>
          <w:rFonts w:ascii="Arial" w:cs="Arial" w:eastAsia="Arial" w:hAnsi="Arial"/>
          <w:sz w:val="24"/>
          <w:szCs w:val="24"/>
        </w:rPr>
        <w:t xml:space="preserve">Достижение и поддержание стабильности цен в среднесрочном периоде посредством проведения соответствующей денежно-кредитной политики являются целью деятельности Национального банка Кыргызской Республики (далее - НБКР) в соответствии с Законом Кыргызской Республики "О Национальном банке Кыргызской Республики". Разработка и реализация денежно-кредитной политики будут направлены на выполнение задач, определенных НСУР.</w:t>
      </w:r>
    </w:p>
    <w:p>
      <w:pPr>
        <w:spacing w:after="60"/>
        <w:ind w:firstLine="567"/>
        <w:jc w:val="both"/>
      </w:pPr>
      <w:r>
        <w:rPr>
          <w:rFonts w:ascii="Arial" w:cs="Arial" w:eastAsia="Arial" w:hAnsi="Arial"/>
          <w:sz w:val="24"/>
          <w:szCs w:val="24"/>
        </w:rPr>
        <w:t xml:space="preserve">Принимая во внимание, что Кыргызская Республика является малой открытой экономикой, наличие высокой импортозависимости страны, неустойчивый характер макроэкономической ситуации в стране, ценовая динамика подвержена большому влиянию изменений, которые могут быть вызваны воздействием внешних и внутренних факторов риска немонетарного характера. В случаях, когда такие риски будут проявляться, и это будет приводить к устойчивому отдалению инфляции от количественного ориентира, меры денежно-кредитной политики будут направлены на то, чтобы вернуть инфляцию к количественному ориентиру.</w:t>
      </w:r>
    </w:p>
    <w:p>
      <w:pPr>
        <w:spacing w:after="60"/>
        <w:ind w:firstLine="567"/>
        <w:jc w:val="both"/>
      </w:pPr>
      <w:r>
        <w:rPr>
          <w:rFonts w:ascii="Arial" w:cs="Arial" w:eastAsia="Arial" w:hAnsi="Arial"/>
          <w:sz w:val="24"/>
          <w:szCs w:val="24"/>
        </w:rPr>
        <w:t xml:space="preserve">Национальный банк Кыргызской Республики будет проводить денежно-кредитную политику в рамках Основных направлений денежно-кредитной политики на среднесрочный период(19). В качестве промежуточного ориентира денежно-кредитной политики будет выступать учетная ставка (ставка политики) НБКР, которая является ориентиром стоимости средств на денежном рынке. Операционным ориентиром денежно-кредитной политики будут являться процентные ставки денежного рынка. НБКР будет определять значения процентных ставок коридора вокруг учетной ставки. В качестве нижнего уровня коридора ставок будет выступать ставка по денежно-кредитному инструменту НБКР "депозит "овернайт", в качестве верхнего уровня - ставка по денежно-кредитному инструменту НБКР "кредит "овернайт". Значения нижнего и верхнего уровней коридора ставок будут служить для участников денежного рынка индикаторами границ ставок, что позволит им заключать сделки на денежном рынке по ставкам в пределах процентного коридора.</w:t>
      </w:r>
    </w:p>
    <w:p>
      <w:pPr>
        <w:spacing w:after="60"/>
        <w:ind w:firstLine="567"/>
        <w:jc w:val="both"/>
      </w:pPr>
      <w:r>
        <w:rPr>
          <w:rFonts w:ascii="Arial" w:cs="Arial" w:eastAsia="Arial" w:hAnsi="Arial"/>
          <w:sz w:val="24"/>
          <w:szCs w:val="24"/>
        </w:rPr>
        <w:t xml:space="preserve">При реализации денежно-кредитной политики НБКР будет использовать весь спектр инструментов денежно-кредитной политики. При необходимости, будут модифицироваться уже существующие инструменты и внедряться новые инструменты.</w:t>
      </w:r>
    </w:p>
    <w:p>
      <w:pPr>
        <w:spacing w:after="60"/>
        <w:ind w:firstLine="567"/>
        <w:jc w:val="both"/>
      </w:pPr>
      <w:r>
        <w:rPr>
          <w:rFonts w:ascii="Arial" w:cs="Arial" w:eastAsia="Arial" w:hAnsi="Arial"/>
          <w:sz w:val="24"/>
          <w:szCs w:val="24"/>
        </w:rPr>
        <w:t xml:space="preserve">НБКР продолжит придерживаться принятого режима плавающего обменного курса. Валютные интервенции будут осуществляться только в целях смягчения резких колебаний обменного курса. Управление международными резервами будет осуществляться с учетом соблюдения основных принципов поддержания ликвидности и обеспечения безопасности резервных активов. В целях смягчения влияния колебаний курсов иностранных валют на внешних рынках, диверсификации рисков ухудшения стоимости резервных активов НБКР, накопления золотовалютных резервов, НБКР будет осуществлять покупку золота за национальную валюту на внутреннем рынке.</w:t>
      </w:r>
    </w:p>
    <w:p>
      <w:pPr>
        <w:spacing w:after="200" w:before="200"/>
        <w:jc w:val="center"/>
      </w:pPr>
      <w:r>
        <w:rPr>
          <w:rFonts w:ascii="Arial" w:cs="Arial" w:eastAsia="Arial" w:hAnsi="Arial"/>
          <w:b/>
          <w:bCs/>
          <w:sz w:val="32"/>
          <w:szCs w:val="32"/>
        </w:rPr>
        <w:t xml:space="preserve">3. Налоговая политика</w:t>
      </w:r>
    </w:p>
    <w:p>
      <w:pPr>
        <w:spacing w:after="60"/>
        <w:ind w:firstLine="567"/>
        <w:jc w:val="both"/>
      </w:pPr>
      <w:r>
        <w:rPr>
          <w:rFonts w:ascii="Arial" w:cs="Arial" w:eastAsia="Arial" w:hAnsi="Arial"/>
          <w:sz w:val="24"/>
          <w:szCs w:val="24"/>
        </w:rPr>
        <w:t xml:space="preserve">Основными направлениями налоговой политики будут продолжение реализации мер, предусмотренных НСУР: (1) обеспечение полноты сбора налогов; (2) модернизация налоговой и таможенной служб; (3) усовершенствование и автоматизация системы налоговой отчетности, сокращение количества отчетов и упорядочение периодичности их представления; (4) продолжение работы по внедрению автоматизированной информационной системы таможенной службы, включающей систему электронной подачи таможенных деклараций.</w:t>
      </w:r>
    </w:p>
    <w:p>
      <w:pPr>
        <w:spacing w:after="60"/>
        <w:ind w:firstLine="567"/>
        <w:jc w:val="both"/>
      </w:pPr>
      <w:r>
        <w:rPr>
          <w:rFonts w:ascii="Arial" w:cs="Arial" w:eastAsia="Arial" w:hAnsi="Arial"/>
          <w:sz w:val="24"/>
          <w:szCs w:val="24"/>
        </w:rPr>
        <w:t xml:space="preserve">Сохранится стимулирующая роль налоговой политики, направленная на диверсификацию, технологическое обновление и модернизацию производства, а также повышение конкурентоспособности экономики в рамках членства Кыргызской Республики в ЕАЭС.</w:t>
      </w:r>
    </w:p>
    <w:p>
      <w:pPr>
        <w:spacing w:after="60"/>
        <w:ind w:firstLine="567"/>
        <w:jc w:val="both"/>
      </w:pPr>
      <w:r>
        <w:rPr>
          <w:rFonts w:ascii="Arial" w:cs="Arial" w:eastAsia="Arial" w:hAnsi="Arial"/>
          <w:sz w:val="24"/>
          <w:szCs w:val="24"/>
        </w:rPr>
        <w:t xml:space="preserve">Для реализации вышеуказанных основных направлений предполагается реализация следующих мер:</w:t>
      </w:r>
    </w:p>
    <w:p>
      <w:pPr>
        <w:spacing w:after="60"/>
        <w:ind w:firstLine="567"/>
        <w:jc w:val="both"/>
      </w:pPr>
      <w:r>
        <w:rPr>
          <w:rFonts w:ascii="Arial" w:cs="Arial" w:eastAsia="Arial" w:hAnsi="Arial"/>
          <w:sz w:val="24"/>
          <w:szCs w:val="24"/>
        </w:rPr>
        <w:t xml:space="preserve">1. Формирование единого подхода к классификации неналоговых платежей с максимальным приведением в соответствие подходов по их администрированию с подходами, применяемыми в налоговом законодательстве Кыргызской Республики.</w:t>
      </w:r>
    </w:p>
    <w:p>
      <w:pPr>
        <w:spacing w:after="60"/>
        <w:ind w:firstLine="567"/>
        <w:jc w:val="both"/>
      </w:pPr>
      <w:r>
        <w:rPr>
          <w:rFonts w:ascii="Arial" w:cs="Arial" w:eastAsia="Arial" w:hAnsi="Arial"/>
          <w:sz w:val="24"/>
          <w:szCs w:val="24"/>
        </w:rPr>
        <w:t xml:space="preserve">2. Пересмотр системы формирования и предоставления государственной статистической информации для целей фискальной политики, включая анализ доходов и расходов бюджета и рассмотрение возможности предоставления отчетности о финансовой деятельности плательщиком одному государственному органу.</w:t>
      </w:r>
    </w:p>
    <w:p>
      <w:pPr>
        <w:spacing w:after="60"/>
        <w:ind w:firstLine="567"/>
        <w:jc w:val="both"/>
      </w:pPr>
      <w:r>
        <w:rPr>
          <w:rFonts w:ascii="Arial" w:cs="Arial" w:eastAsia="Arial" w:hAnsi="Arial"/>
          <w:sz w:val="24"/>
          <w:szCs w:val="24"/>
        </w:rPr>
        <w:t xml:space="preserve">3. Пересмотр системы Государственной регистрации субъектов предпринимательства, устранение ее раздробленности и дублирования на основе совершенствования работы Государственного предприятия "Центр "единого окна" в сфере внешней торговли при Министерстве экономики Кыргызской Республики, а также передачи регистрации индивидуальных предпринимателей в Государственную налоговую службу при Правительстве Кыргызской Республики.</w:t>
      </w:r>
    </w:p>
    <w:p>
      <w:pPr>
        <w:spacing w:after="60"/>
        <w:ind w:firstLine="567"/>
        <w:jc w:val="both"/>
      </w:pPr>
      <w:r>
        <w:rPr>
          <w:rFonts w:ascii="Arial" w:cs="Arial" w:eastAsia="Arial" w:hAnsi="Arial"/>
          <w:sz w:val="24"/>
          <w:szCs w:val="24"/>
        </w:rPr>
        <w:t xml:space="preserve">4. Исключение дублирования налога на добавленную стоимость (НДС) и налога с продаж: полная отмена налога с продаж по облагаемым поставкам без повышения ставки НДС.</w:t>
      </w:r>
    </w:p>
    <w:p>
      <w:pPr>
        <w:spacing w:after="60"/>
        <w:ind w:firstLine="567"/>
        <w:jc w:val="both"/>
      </w:pPr>
      <w:r>
        <w:rPr>
          <w:rFonts w:ascii="Arial" w:cs="Arial" w:eastAsia="Arial" w:hAnsi="Arial"/>
          <w:sz w:val="24"/>
          <w:szCs w:val="24"/>
        </w:rPr>
        <w:t xml:space="preserve">5. Изменение механизма регистрации, учета и контроля подакцизной группы товаров путем внедрения акцизных марок на алкогольную и табачную продукцию с использованием системы маркировки контрольными (идентификационными) знаками. Пересмотр существующих ставок акциза с целью их поэтапного приближения к ставкам акциза на алкогольную продукцию, установленным в государствах - членах ЕАЭС.</w:t>
      </w:r>
    </w:p>
    <w:p>
      <w:pPr>
        <w:spacing w:after="60"/>
        <w:ind w:firstLine="567"/>
        <w:jc w:val="both"/>
      </w:pPr>
      <w:r>
        <w:rPr>
          <w:rFonts w:ascii="Arial" w:cs="Arial" w:eastAsia="Arial" w:hAnsi="Arial"/>
          <w:sz w:val="24"/>
          <w:szCs w:val="24"/>
        </w:rPr>
        <w:t xml:space="preserve">6. Внедрение элементов налогообложения роскоши путем повышения ставок на отдельные виды имущества (движимое и недвижимое) или применения повышающих коэффициентов.</w:t>
      </w:r>
    </w:p>
    <w:p>
      <w:pPr>
        <w:spacing w:after="60"/>
        <w:ind w:firstLine="567"/>
        <w:jc w:val="both"/>
      </w:pPr>
      <w:r>
        <w:rPr>
          <w:rFonts w:ascii="Arial" w:cs="Arial" w:eastAsia="Arial" w:hAnsi="Arial"/>
          <w:sz w:val="24"/>
          <w:szCs w:val="24"/>
        </w:rPr>
        <w:t xml:space="preserve">7. Сближение и гармонизация подходов к налоговому администрированию в рамках ЕАЭС с учетом максимально возможного сохранения имеющихся у Кыргызской Республики преимуществ.</w:t>
      </w:r>
    </w:p>
    <w:p>
      <w:pPr>
        <w:spacing w:after="200" w:before="200"/>
        <w:jc w:val="center"/>
      </w:pPr>
      <w:r>
        <w:rPr>
          <w:rFonts w:ascii="Arial" w:cs="Arial" w:eastAsia="Arial" w:hAnsi="Arial"/>
          <w:b/>
          <w:bCs/>
          <w:sz w:val="32"/>
          <w:szCs w:val="32"/>
        </w:rPr>
        <w:t xml:space="preserve">4. Бюджетная политика</w:t>
      </w:r>
    </w:p>
    <w:p>
      <w:pPr>
        <w:spacing w:after="60"/>
        <w:ind w:firstLine="567"/>
        <w:jc w:val="both"/>
      </w:pPr>
      <w:r>
        <w:rPr>
          <w:rFonts w:ascii="Arial" w:cs="Arial" w:eastAsia="Arial" w:hAnsi="Arial"/>
          <w:sz w:val="24"/>
          <w:szCs w:val="24"/>
        </w:rPr>
        <w:t xml:space="preserve">Основной целью бюджетной политики является достижение бюджетной устойчивости, построение эффективной и прозрачной бюджетной системы, повышение эффективности использования государственных бюджетных средств, ее ориентация на стимулирование экономического роста, результативность бюджетных расходов и повышение качества предоставляемых услуг, обеспечение потребностей в финансировании в рамках перехода к устойчивому развитию, с учетом формирования оптимизированной структуры государственного долга.</w:t>
      </w:r>
    </w:p>
    <w:p>
      <w:pPr>
        <w:spacing w:after="60"/>
        <w:ind w:firstLine="567"/>
        <w:jc w:val="both"/>
      </w:pPr>
      <w:r>
        <w:rPr>
          <w:rFonts w:ascii="Arial" w:cs="Arial" w:eastAsia="Arial" w:hAnsi="Arial"/>
          <w:sz w:val="24"/>
          <w:szCs w:val="24"/>
        </w:rPr>
        <w:t xml:space="preserve">Бюджетная политика будет сфокусирована на следующих приоритетных направлениях: (1) обеспечение бюджетной устойчивости; (2) продолжение реформирования системы управления государственными финансами; (3) сохранение устойчивости государственного внешнего долга и увеличение объемов внутреннего заимствования.</w:t>
      </w:r>
    </w:p>
    <w:p>
      <w:pPr>
        <w:spacing w:after="60"/>
        <w:ind w:firstLine="567"/>
        <w:jc w:val="both"/>
      </w:pPr>
      <w:r>
        <w:rPr>
          <w:rFonts w:ascii="Arial" w:cs="Arial" w:eastAsia="Arial" w:hAnsi="Arial"/>
          <w:sz w:val="24"/>
          <w:szCs w:val="24"/>
        </w:rPr>
        <w:t xml:space="preserve">Приоритетное направление по обеспечению бюджетной устойчивости будет ориентировано на решение следующих задач: увеличение ресурсного потенциала бюджета; оптимизация государственных расходов; сокращение дефицита бюджета.</w:t>
      </w:r>
    </w:p>
    <w:p>
      <w:pPr>
        <w:spacing w:after="60"/>
        <w:ind w:firstLine="567"/>
        <w:jc w:val="both"/>
      </w:pPr>
      <w:r>
        <w:rPr>
          <w:rFonts w:ascii="Arial" w:cs="Arial" w:eastAsia="Arial" w:hAnsi="Arial"/>
          <w:sz w:val="24"/>
          <w:szCs w:val="24"/>
        </w:rPr>
        <w:t xml:space="preserve">Для реализации указанных направлений будут приняты следующие меры:</w:t>
      </w:r>
    </w:p>
    <w:p>
      <w:pPr>
        <w:spacing w:after="60"/>
        <w:ind w:firstLine="567"/>
        <w:jc w:val="both"/>
      </w:pPr>
      <w:r>
        <w:rPr>
          <w:rFonts w:ascii="Arial" w:cs="Arial" w:eastAsia="Arial" w:hAnsi="Arial"/>
          <w:sz w:val="24"/>
          <w:szCs w:val="24"/>
        </w:rPr>
        <w:t xml:space="preserve">- совершенствование процесса планирования бюджета; переход от социально ориентированного бюджета к бюджету развития; сокращение государственных расходов и сдерживание принятия новых расходных инициатив, не имеющих соответствующего финансового подкрепления;</w:t>
      </w:r>
    </w:p>
    <w:p>
      <w:pPr>
        <w:spacing w:after="60"/>
        <w:ind w:firstLine="567"/>
        <w:jc w:val="both"/>
      </w:pPr>
      <w:r>
        <w:rPr>
          <w:rFonts w:ascii="Arial" w:cs="Arial" w:eastAsia="Arial" w:hAnsi="Arial"/>
          <w:sz w:val="24"/>
          <w:szCs w:val="24"/>
        </w:rPr>
        <w:t xml:space="preserve">- усиление бюджетной дисциплины; обеспечение сбалансированности бюджета, основанного на принципе "жить по средствам"; усиление контроля за эффективностью государственных расходов;</w:t>
      </w:r>
    </w:p>
    <w:p>
      <w:pPr>
        <w:spacing w:after="60"/>
        <w:ind w:firstLine="567"/>
        <w:jc w:val="both"/>
      </w:pPr>
      <w:r>
        <w:rPr>
          <w:rFonts w:ascii="Arial" w:cs="Arial" w:eastAsia="Arial" w:hAnsi="Arial"/>
          <w:sz w:val="24"/>
          <w:szCs w:val="24"/>
        </w:rPr>
        <w:t xml:space="preserve">- определение финансовых и нефинансовых индикаторов эффективности использования бюджетных средств;</w:t>
      </w:r>
    </w:p>
    <w:p>
      <w:pPr>
        <w:spacing w:after="60"/>
        <w:ind w:firstLine="567"/>
        <w:jc w:val="both"/>
      </w:pPr>
      <w:r>
        <w:rPr>
          <w:rFonts w:ascii="Arial" w:cs="Arial" w:eastAsia="Arial" w:hAnsi="Arial"/>
          <w:sz w:val="24"/>
          <w:szCs w:val="24"/>
        </w:rPr>
        <w:t xml:space="preserve">- повышение заинтересованности органов местного самоуправления (далее - ОМСУ) в увеличении доходного потенциала и улучшении эффективности расходов; повышение роли и ответственности ОМСУ за управление местным бюджетом; поэтапное снижение дотационности местных бюджетов;</w:t>
      </w:r>
    </w:p>
    <w:p>
      <w:pPr>
        <w:spacing w:after="60"/>
        <w:ind w:firstLine="567"/>
        <w:jc w:val="both"/>
      </w:pPr>
      <w:r>
        <w:rPr>
          <w:rFonts w:ascii="Arial" w:cs="Arial" w:eastAsia="Arial" w:hAnsi="Arial"/>
          <w:sz w:val="24"/>
          <w:szCs w:val="24"/>
        </w:rPr>
        <w:t xml:space="preserve">- осуществление электронных торгов при проведении государственных закупок и интегрирование системы электронных закупок в бюджетный процесс;</w:t>
      </w:r>
    </w:p>
    <w:p>
      <w:pPr>
        <w:spacing w:after="60"/>
        <w:ind w:firstLine="567"/>
        <w:jc w:val="both"/>
      </w:pPr>
      <w:r>
        <w:rPr>
          <w:rFonts w:ascii="Arial" w:cs="Arial" w:eastAsia="Arial" w:hAnsi="Arial"/>
          <w:sz w:val="24"/>
          <w:szCs w:val="24"/>
        </w:rPr>
        <w:t xml:space="preserve">- проведение работы по реструктуризации двустороннего внешнего долга; инициирование механизма конверсионных операций с двусторонним долгом Кыргызской Республики;</w:t>
      </w:r>
    </w:p>
    <w:p>
      <w:pPr>
        <w:spacing w:after="60"/>
        <w:ind w:firstLine="567"/>
        <w:jc w:val="both"/>
      </w:pPr>
      <w:r>
        <w:rPr>
          <w:rFonts w:ascii="Arial" w:cs="Arial" w:eastAsia="Arial" w:hAnsi="Arial"/>
          <w:sz w:val="24"/>
          <w:szCs w:val="24"/>
        </w:rPr>
        <w:t xml:space="preserve">- привлечение новых государственных внешних заимствований при соблюдении минимального уровня льготности займов (грант-элемент) в 35%; ограничение ежегодных объемов вновь привлекаемых внешних заимствований с учетом сохранения ежегодного остатка внешнего долга, не превышающего 60% ВВП;</w:t>
      </w:r>
    </w:p>
    <w:p>
      <w:pPr>
        <w:spacing w:after="60"/>
        <w:ind w:firstLine="567"/>
        <w:jc w:val="both"/>
      </w:pPr>
      <w:r>
        <w:rPr>
          <w:rFonts w:ascii="Arial" w:cs="Arial" w:eastAsia="Arial" w:hAnsi="Arial"/>
          <w:sz w:val="24"/>
          <w:szCs w:val="24"/>
        </w:rPr>
        <w:t xml:space="preserve">- государственные заимствования на внутреннем рынке будут осуществляться исключительно за счет выпуска и размещения государственных ценных бумаг посредством рыночных механизмов ценообразования, в частности, через аукционы.</w:t>
      </w:r>
    </w:p>
    <w:p>
      <w:pPr>
        <w:spacing w:after="200" w:before="200"/>
        <w:jc w:val="center"/>
      </w:pPr>
      <w:r>
        <w:rPr>
          <w:rFonts w:ascii="Arial" w:cs="Arial" w:eastAsia="Arial" w:hAnsi="Arial"/>
          <w:b/>
          <w:bCs/>
          <w:sz w:val="32"/>
          <w:szCs w:val="32"/>
        </w:rPr>
        <w:t xml:space="preserve">5. Бюджет развития</w:t>
      </w:r>
    </w:p>
    <w:p>
      <w:pPr>
        <w:spacing w:after="60"/>
        <w:ind w:firstLine="567"/>
        <w:jc w:val="both"/>
      </w:pPr>
      <w:r>
        <w:rPr>
          <w:rFonts w:ascii="Arial" w:cs="Arial" w:eastAsia="Arial" w:hAnsi="Arial"/>
          <w:sz w:val="24"/>
          <w:szCs w:val="24"/>
        </w:rPr>
        <w:t xml:space="preserve">Средства бюджета развития используются для развития государственных приоритетных и социально экономически значимых объектов.</w:t>
      </w:r>
    </w:p>
    <w:p>
      <w:pPr>
        <w:spacing w:after="60"/>
        <w:ind w:firstLine="567"/>
        <w:jc w:val="both"/>
      </w:pPr>
      <w:r>
        <w:rPr>
          <w:rFonts w:ascii="Arial" w:cs="Arial" w:eastAsia="Arial" w:hAnsi="Arial"/>
          <w:sz w:val="24"/>
          <w:szCs w:val="24"/>
        </w:rPr>
        <w:t xml:space="preserve">Государственные капитальные вложения будут направляться на обеспечение устойчивого экономического развития регионов и республики.</w:t>
      </w:r>
    </w:p>
    <w:p>
      <w:pPr>
        <w:spacing w:after="60"/>
        <w:ind w:firstLine="567"/>
        <w:jc w:val="both"/>
      </w:pPr>
      <w:r>
        <w:rPr>
          <w:rFonts w:ascii="Arial" w:cs="Arial" w:eastAsia="Arial" w:hAnsi="Arial"/>
          <w:sz w:val="24"/>
          <w:szCs w:val="24"/>
        </w:rPr>
        <w:t xml:space="preserve">Основными задачами по совершенствованию и развитию финансирования за счет государственных капитальных вложений будут:</w:t>
      </w:r>
    </w:p>
    <w:p>
      <w:pPr>
        <w:spacing w:after="60"/>
        <w:ind w:firstLine="567"/>
        <w:jc w:val="both"/>
      </w:pPr>
      <w:r>
        <w:rPr>
          <w:rFonts w:ascii="Arial" w:cs="Arial" w:eastAsia="Arial" w:hAnsi="Arial"/>
          <w:sz w:val="24"/>
          <w:szCs w:val="24"/>
        </w:rPr>
        <w:t xml:space="preserve">- формирование инвестиционных предложений на стадии разработки среднесрочных государственных, отраслевых (секторальных) и региональных программ;</w:t>
      </w:r>
    </w:p>
    <w:p>
      <w:pPr>
        <w:spacing w:after="60"/>
        <w:ind w:firstLine="567"/>
        <w:jc w:val="both"/>
      </w:pPr>
      <w:r>
        <w:rPr>
          <w:rFonts w:ascii="Arial" w:cs="Arial" w:eastAsia="Arial" w:hAnsi="Arial"/>
          <w:sz w:val="24"/>
          <w:szCs w:val="24"/>
        </w:rPr>
        <w:t xml:space="preserve">- проведение оценки на стадии согласования среднесрочных государственных, отраслевых (секторальных) и региональных программ и отбор на основании положительного заключения по их оценке;</w:t>
      </w:r>
    </w:p>
    <w:p>
      <w:pPr>
        <w:spacing w:after="60"/>
        <w:ind w:firstLine="567"/>
        <w:jc w:val="both"/>
      </w:pPr>
      <w:r>
        <w:rPr>
          <w:rFonts w:ascii="Arial" w:cs="Arial" w:eastAsia="Arial" w:hAnsi="Arial"/>
          <w:sz w:val="24"/>
          <w:szCs w:val="24"/>
        </w:rPr>
        <w:t xml:space="preserve">- включение отобранных инвестиционных предложений в перечень инвестиционных проектов (программ) в качестве планируемых бюджетных инвестиционных проектов (программ), которые будут включены с момента реализации на второй или третий год планируемого периода;</w:t>
      </w:r>
    </w:p>
    <w:p>
      <w:pPr>
        <w:spacing w:after="60"/>
        <w:ind w:firstLine="567"/>
        <w:jc w:val="both"/>
      </w:pPr>
      <w:r>
        <w:rPr>
          <w:rFonts w:ascii="Arial" w:cs="Arial" w:eastAsia="Arial" w:hAnsi="Arial"/>
          <w:sz w:val="24"/>
          <w:szCs w:val="24"/>
        </w:rPr>
        <w:t xml:space="preserve">- разработка технико-экономического обоснования бюджетного инвестиционного проекта при условии включения его в перечень приоритетных бюджетных инвестиционных проектов на этапе формирования и отбора инвестиционных предложений;</w:t>
      </w:r>
    </w:p>
    <w:p>
      <w:pPr>
        <w:spacing w:after="60"/>
        <w:ind w:firstLine="567"/>
        <w:jc w:val="both"/>
      </w:pPr>
      <w:r>
        <w:rPr>
          <w:rFonts w:ascii="Arial" w:cs="Arial" w:eastAsia="Arial" w:hAnsi="Arial"/>
          <w:sz w:val="24"/>
          <w:szCs w:val="24"/>
        </w:rPr>
        <w:t xml:space="preserve">- формирование перечней приоритетных бюджетных инвестиционных проектов, на основании действующих и разрабатываемых государственных, отраслевых (секторальных) и региональных программ;</w:t>
      </w:r>
    </w:p>
    <w:p>
      <w:pPr>
        <w:spacing w:after="60"/>
        <w:ind w:firstLine="567"/>
        <w:jc w:val="both"/>
      </w:pPr>
      <w:r>
        <w:rPr>
          <w:rFonts w:ascii="Arial" w:cs="Arial" w:eastAsia="Arial" w:hAnsi="Arial"/>
          <w:sz w:val="24"/>
          <w:szCs w:val="24"/>
        </w:rPr>
        <w:t xml:space="preserve">- разработка проектов Перечня приоритетных республиканских бюджетных инвестиционных проектов и перечня приоритетных местных бюджетных инвестиционных проектов ежегодно на трехлетний период в составе Среднесрочного плана социально-экономического развития, которые будут служить основой для разработки республиканского и местных бюджетов соответственно, в части определения перечня и объемов финансирования бюджетных программ развития.</w:t>
      </w:r>
    </w:p>
    <w:p>
      <w:pPr>
        <w:spacing w:after="200" w:before="200"/>
        <w:jc w:val="center"/>
      </w:pPr>
      <w:r>
        <w:rPr>
          <w:rFonts w:ascii="Arial" w:cs="Arial" w:eastAsia="Arial" w:hAnsi="Arial"/>
          <w:b/>
          <w:bCs/>
          <w:sz w:val="32"/>
          <w:szCs w:val="32"/>
        </w:rPr>
        <w:t xml:space="preserve">6. Инвестиционная политика</w:t>
      </w:r>
    </w:p>
    <w:p>
      <w:pPr>
        <w:spacing w:after="60"/>
        <w:ind w:firstLine="567"/>
        <w:jc w:val="both"/>
      </w:pPr>
      <w:r>
        <w:rPr>
          <w:rFonts w:ascii="Arial" w:cs="Arial" w:eastAsia="Arial" w:hAnsi="Arial"/>
          <w:sz w:val="24"/>
          <w:szCs w:val="24"/>
        </w:rPr>
        <w:t xml:space="preserve">Учитывая существенные изменения торговых условий, в рамках участия Кыргызстана в новых экономических организациях совместно с основными торговыми партнерами страны, потенциально повышается привлекательность рынка, в связи с чем инвестиционные возможности потенциально приобретают более широкие перспективы для развития.</w:t>
      </w:r>
    </w:p>
    <w:p>
      <w:pPr>
        <w:spacing w:after="60"/>
        <w:ind w:firstLine="567"/>
        <w:jc w:val="both"/>
      </w:pPr>
      <w:r>
        <w:rPr>
          <w:rFonts w:ascii="Arial" w:cs="Arial" w:eastAsia="Arial" w:hAnsi="Arial"/>
          <w:sz w:val="24"/>
          <w:szCs w:val="24"/>
        </w:rPr>
        <w:t xml:space="preserve">Стабильность, в том числе политическая, правовая, экономическая и социальная, является основополагающим фактором для привлечения инвестиций.</w:t>
      </w:r>
    </w:p>
    <w:p>
      <w:pPr>
        <w:spacing w:after="60"/>
        <w:ind w:firstLine="567"/>
        <w:jc w:val="both"/>
      </w:pPr>
      <w:r>
        <w:rPr>
          <w:rFonts w:ascii="Arial" w:cs="Arial" w:eastAsia="Arial" w:hAnsi="Arial"/>
          <w:sz w:val="24"/>
          <w:szCs w:val="24"/>
        </w:rPr>
        <w:t xml:space="preserve">Инвестиционная политика будет направлена на привлечение инвестиций в приоритетные отрасли экономики страны посредством минимизации вмешательства государства в дела бизнеса через сокращение количества лицензий, проверок, оказываемых государством услуг. Постепенно будут внедряться механизмы государственно-частного партнерства и планируется реализация пилотных проектов, направленных на улучшение инфраструктуры экономики страны.</w:t>
      </w:r>
    </w:p>
    <w:p>
      <w:pPr>
        <w:spacing w:after="60"/>
        <w:ind w:firstLine="567"/>
        <w:jc w:val="both"/>
      </w:pPr>
      <w:r>
        <w:rPr>
          <w:rFonts w:ascii="Arial" w:cs="Arial" w:eastAsia="Arial" w:hAnsi="Arial"/>
          <w:sz w:val="24"/>
          <w:szCs w:val="24"/>
        </w:rPr>
        <w:t xml:space="preserve">Инвестиционная политика будет сфокусирована на следующих двух приоритетных направлениях: (1) повышение эффективности государственной инвестиционной политики; (2) совершенствование механизмов привлечения и поддержки инвестиций.</w:t>
      </w:r>
    </w:p>
    <w:p>
      <w:pPr>
        <w:spacing w:after="60"/>
        <w:ind w:firstLine="567"/>
        <w:jc w:val="both"/>
      </w:pPr>
      <w:r>
        <w:rPr>
          <w:rFonts w:ascii="Arial" w:cs="Arial" w:eastAsia="Arial" w:hAnsi="Arial"/>
          <w:sz w:val="24"/>
          <w:szCs w:val="24"/>
        </w:rPr>
        <w:t xml:space="preserve">Продвижение направлений предполагает реализацию следующих мер:</w:t>
      </w:r>
    </w:p>
    <w:p>
      <w:pPr>
        <w:spacing w:after="60"/>
        <w:ind w:firstLine="567"/>
        <w:jc w:val="both"/>
      </w:pPr>
      <w:r>
        <w:rPr>
          <w:rFonts w:ascii="Arial" w:cs="Arial" w:eastAsia="Arial" w:hAnsi="Arial"/>
          <w:sz w:val="24"/>
          <w:szCs w:val="24"/>
        </w:rPr>
        <w:t xml:space="preserve">- повышение статуса созданного института по продвижению инвестиций, который будет выступать в качестве координирующего органа в сфере инвестиций;</w:t>
      </w:r>
    </w:p>
    <w:p>
      <w:pPr>
        <w:spacing w:after="60"/>
        <w:ind w:firstLine="567"/>
        <w:jc w:val="both"/>
      </w:pPr>
      <w:r>
        <w:rPr>
          <w:rFonts w:ascii="Arial" w:cs="Arial" w:eastAsia="Arial" w:hAnsi="Arial"/>
          <w:sz w:val="24"/>
          <w:szCs w:val="24"/>
        </w:rPr>
        <w:t xml:space="preserve">- информирование местного населения о потенциальных выгодах планируемых и действующих проектов;</w:t>
      </w:r>
    </w:p>
    <w:p>
      <w:pPr>
        <w:spacing w:after="60"/>
        <w:ind w:firstLine="567"/>
        <w:jc w:val="both"/>
      </w:pPr>
      <w:r>
        <w:rPr>
          <w:rFonts w:ascii="Arial" w:cs="Arial" w:eastAsia="Arial" w:hAnsi="Arial"/>
          <w:sz w:val="24"/>
          <w:szCs w:val="24"/>
        </w:rPr>
        <w:t xml:space="preserve">- активное вовлечение отечественных бизнес-структур в процесс осуществления инвестиций;</w:t>
      </w:r>
    </w:p>
    <w:p>
      <w:pPr>
        <w:spacing w:after="60"/>
        <w:ind w:firstLine="567"/>
        <w:jc w:val="both"/>
      </w:pPr>
      <w:r>
        <w:rPr>
          <w:rFonts w:ascii="Arial" w:cs="Arial" w:eastAsia="Arial" w:hAnsi="Arial"/>
          <w:sz w:val="24"/>
          <w:szCs w:val="24"/>
        </w:rPr>
        <w:t xml:space="preserve">- продолжение реформирования законодательства по всем направлениям;</w:t>
      </w:r>
    </w:p>
    <w:p>
      <w:pPr>
        <w:spacing w:after="60"/>
        <w:ind w:firstLine="567"/>
        <w:jc w:val="both"/>
      </w:pPr>
      <w:r>
        <w:rPr>
          <w:rFonts w:ascii="Arial" w:cs="Arial" w:eastAsia="Arial" w:hAnsi="Arial"/>
          <w:sz w:val="24"/>
          <w:szCs w:val="24"/>
        </w:rPr>
        <w:t xml:space="preserve">- активизация привлечения и продвижения малых и средних иностранных инвестиций.</w:t>
      </w:r>
    </w:p>
    <w:p>
      <w:pPr>
        <w:spacing w:after="60"/>
        <w:ind w:firstLine="567"/>
        <w:jc w:val="both"/>
      </w:pPr>
      <w:r>
        <w:rPr>
          <w:rFonts w:ascii="Arial" w:cs="Arial" w:eastAsia="Arial" w:hAnsi="Arial"/>
          <w:sz w:val="24"/>
          <w:szCs w:val="24"/>
        </w:rPr>
        <w:t xml:space="preserve">Запланированы мероприятия по повышению качества человеческих ресурсов в Кыргызской Республике. Качество человеческих ресурсов еще более критично при привлечении инвестиций, ввиду использования новых технологий при реализации проектов с участием иностранных инвестиций. Политика привлечения инвестиций должна выстроить соответствующие требования к системам, обеспечивающим качество человеческого капитала. В этой связи необходимо гармонизировать программные документы, направленные на развитие высшего и среднего профессионального образования, а также создание возможностей для привлечения высококвалифицированной рабочей силы.</w:t>
      </w:r>
    </w:p>
    <w:p>
      <w:pPr>
        <w:spacing w:after="60"/>
        <w:ind w:firstLine="567"/>
        <w:jc w:val="both"/>
      </w:pPr>
      <w:r>
        <w:rPr>
          <w:rFonts w:ascii="Arial" w:cs="Arial" w:eastAsia="Arial" w:hAnsi="Arial"/>
          <w:sz w:val="24"/>
          <w:szCs w:val="24"/>
        </w:rPr>
        <w:t xml:space="preserve">Обеспечение благоприятности инвестиционной политики позволит обеспечить ежегодный прирост объемов прямых иностранных инвестиций, привлечь прямые иностранные инвестиции в экспортоориентированные отрасли экономики, будет способствовать повышению уровня занятости населения и развитию регионов.</w:t>
      </w:r>
    </w:p>
    <w:p>
      <w:pPr>
        <w:spacing w:after="60"/>
        <w:ind w:firstLine="567"/>
        <w:jc w:val="both"/>
      </w:pPr>
      <w:r>
        <w:rPr>
          <w:rFonts w:ascii="Arial" w:cs="Arial" w:eastAsia="Arial" w:hAnsi="Arial"/>
          <w:sz w:val="24"/>
          <w:szCs w:val="24"/>
        </w:rPr>
        <w:t xml:space="preserve">Одной из неотъемлемых частей политики является постоянное поддержание диалога с бизнес-ассоциациями в целях оперативного реагирования на изменения условий ведения бизнеса или проблемы с правоприменительной практикой в отношении иностранных инвесторов.</w:t>
      </w:r>
    </w:p>
    <w:p>
      <w:pPr>
        <w:spacing w:after="200" w:before="200"/>
        <w:jc w:val="center"/>
      </w:pPr>
      <w:r>
        <w:rPr>
          <w:rFonts w:ascii="Arial" w:cs="Arial" w:eastAsia="Arial" w:hAnsi="Arial"/>
          <w:b/>
          <w:bCs/>
          <w:sz w:val="32"/>
          <w:szCs w:val="32"/>
        </w:rPr>
        <w:t xml:space="preserve">7. Инновационная политика</w:t>
      </w:r>
    </w:p>
    <w:p>
      <w:pPr>
        <w:spacing w:after="60"/>
        <w:ind w:firstLine="567"/>
        <w:jc w:val="both"/>
      </w:pPr>
      <w:r>
        <w:rPr>
          <w:rFonts w:ascii="Arial" w:cs="Arial" w:eastAsia="Arial" w:hAnsi="Arial"/>
          <w:sz w:val="24"/>
          <w:szCs w:val="24"/>
        </w:rPr>
        <w:t xml:space="preserve">Основной целью инновационной политики является создание эффективной системы защиты интеллектуальной собственности и инновационной деятельности для развития экономики и повышения ее конкурентоспособности.</w:t>
      </w:r>
    </w:p>
    <w:p>
      <w:pPr>
        <w:spacing w:after="60"/>
        <w:ind w:firstLine="567"/>
        <w:jc w:val="both"/>
      </w:pPr>
      <w:r>
        <w:rPr>
          <w:rFonts w:ascii="Arial" w:cs="Arial" w:eastAsia="Arial" w:hAnsi="Arial"/>
          <w:sz w:val="24"/>
          <w:szCs w:val="24"/>
        </w:rPr>
        <w:t xml:space="preserve">В рамках Государственной программы развития интеллектуальной собственности и инноваций в Кыргызской Республике на 2012-2016 годы (постановление Правительства Кыргызской Республики от 23 сентября 2011 года № 593) будет продолжена работа по реализации проектов, направленных на информационное содействие развитию инновационной деятельности малых и средних предприятий, противодействие распространению контрафактной продукции, угрожающей жизни и здоровью населения, поддержку изобретательства и творчества среди молодежи и школьников, а также на сохранение традиционных знаний народа.</w:t>
      </w:r>
    </w:p>
    <w:p>
      <w:pPr>
        <w:spacing w:after="60"/>
        <w:ind w:firstLine="567"/>
        <w:jc w:val="both"/>
      </w:pPr>
      <w:r>
        <w:rPr>
          <w:rFonts w:ascii="Arial" w:cs="Arial" w:eastAsia="Arial" w:hAnsi="Arial"/>
          <w:sz w:val="24"/>
          <w:szCs w:val="24"/>
        </w:rPr>
        <w:t xml:space="preserve">Исходя из имеющихся возможностей страны, работа будет направлена на создание системы и механизмов поиска, заимствования, адаптацию и распространение эффективных и инновационных для отечественных предприятий технологий. Приоритетными направлениями определены следующие: (1) создание благоприятных условий для развития инновационной деятельности и использование объектов интеллектуальной собственности; (2) построение системы, содействующей эффективному принятию решений в области развития инновационной деятельности, включая энергосберегающие и энергоэффективные технологии; (3) совершенствование нормативной правовой базы в сфере инновационной деятельности и защиты прав на объекты интеллектуальной собственности; (4) создание условий для обучения, повышения квалификации и информированности общества о роли и значении интеллектуальной собственности и инновационной деятельности.</w:t>
      </w:r>
    </w:p>
    <w:p>
      <w:pPr>
        <w:spacing w:after="60"/>
        <w:ind w:firstLine="567"/>
        <w:jc w:val="both"/>
      </w:pPr>
      <w:r>
        <w:rPr>
          <w:rFonts w:ascii="Arial" w:cs="Arial" w:eastAsia="Arial" w:hAnsi="Arial"/>
          <w:sz w:val="24"/>
          <w:szCs w:val="24"/>
        </w:rPr>
        <w:t xml:space="preserve">Для реализации указанных направлений будут осуществляться следующие меры:</w:t>
      </w:r>
    </w:p>
    <w:p>
      <w:pPr>
        <w:spacing w:after="60"/>
        <w:ind w:firstLine="567"/>
        <w:jc w:val="both"/>
      </w:pPr>
      <w:r>
        <w:rPr>
          <w:rFonts w:ascii="Arial" w:cs="Arial" w:eastAsia="Arial" w:hAnsi="Arial"/>
          <w:sz w:val="24"/>
          <w:szCs w:val="24"/>
        </w:rPr>
        <w:t xml:space="preserve">- разработка критериев отнесения технологий к инновационным, энергосберегающим и энергоэффективным;</w:t>
      </w:r>
    </w:p>
    <w:p>
      <w:pPr>
        <w:spacing w:after="60"/>
        <w:ind w:firstLine="567"/>
        <w:jc w:val="both"/>
      </w:pPr>
      <w:r>
        <w:rPr>
          <w:rFonts w:ascii="Arial" w:cs="Arial" w:eastAsia="Arial" w:hAnsi="Arial"/>
          <w:sz w:val="24"/>
          <w:szCs w:val="24"/>
        </w:rPr>
        <w:t xml:space="preserve">- создание реестра инновационных, энергосберегающих и энергоэффективных технологий;</w:t>
      </w:r>
    </w:p>
    <w:p>
      <w:pPr>
        <w:spacing w:after="60"/>
        <w:ind w:firstLine="567"/>
        <w:jc w:val="both"/>
      </w:pPr>
      <w:r>
        <w:rPr>
          <w:rFonts w:ascii="Arial" w:cs="Arial" w:eastAsia="Arial" w:hAnsi="Arial"/>
          <w:sz w:val="24"/>
          <w:szCs w:val="24"/>
        </w:rPr>
        <w:t xml:space="preserve">- оказание услуг по поиску, отбору и маркетингу инновационных технологий;</w:t>
      </w:r>
    </w:p>
    <w:p>
      <w:pPr>
        <w:spacing w:after="60"/>
        <w:ind w:firstLine="567"/>
        <w:jc w:val="both"/>
      </w:pPr>
      <w:r>
        <w:rPr>
          <w:rFonts w:ascii="Arial" w:cs="Arial" w:eastAsia="Arial" w:hAnsi="Arial"/>
          <w:sz w:val="24"/>
          <w:szCs w:val="24"/>
        </w:rPr>
        <w:t xml:space="preserve">- проведение комплексного анализа состояния инновационной деятельности в стране, способствующей становлению экономики;</w:t>
      </w:r>
    </w:p>
    <w:p>
      <w:pPr>
        <w:spacing w:after="60"/>
        <w:ind w:firstLine="567"/>
        <w:jc w:val="both"/>
      </w:pPr>
      <w:r>
        <w:rPr>
          <w:rFonts w:ascii="Arial" w:cs="Arial" w:eastAsia="Arial" w:hAnsi="Arial"/>
          <w:sz w:val="24"/>
          <w:szCs w:val="24"/>
        </w:rPr>
        <w:t xml:space="preserve">- разработка и внесение предложений по адаптации отечественных статистических показателей в области инновационного развития к мировым стандартам;</w:t>
      </w:r>
    </w:p>
    <w:p>
      <w:pPr>
        <w:spacing w:after="60"/>
        <w:ind w:firstLine="567"/>
        <w:jc w:val="both"/>
      </w:pPr>
      <w:r>
        <w:rPr>
          <w:rFonts w:ascii="Arial" w:cs="Arial" w:eastAsia="Arial" w:hAnsi="Arial"/>
          <w:sz w:val="24"/>
          <w:szCs w:val="24"/>
        </w:rPr>
        <w:t xml:space="preserve">- внесение изменений в законодательство в сфере защиты интеллектуальной собственности, предусматривающих стимулирование и государственную поддержку предприятий, использующих инновационные, энергосберегающие и энергоэффективные технологии.</w:t>
      </w:r>
    </w:p>
    <w:p>
      <w:pPr>
        <w:spacing w:after="60"/>
        <w:ind w:firstLine="567"/>
        <w:jc w:val="both"/>
      </w:pPr>
      <w:r>
        <w:rPr>
          <w:rFonts w:ascii="Arial" w:cs="Arial" w:eastAsia="Arial" w:hAnsi="Arial"/>
          <w:sz w:val="24"/>
          <w:szCs w:val="24"/>
        </w:rPr>
        <w:t xml:space="preserve">Запланирован комплекс мер по повышению качества экспертизы при предоставлении правовой охраны интеллектуальной собственности; повышению уровня защиты прав на объекты интеллектуальной собственности; созданию элементов национальной инновационной системы; информированию общества о роли и значении интеллектуальной собственности и инновационной деятельности, и развитию интеллектуального творчества.</w:t>
      </w:r>
    </w:p>
    <w:p>
      <w:pPr>
        <w:spacing w:after="60"/>
        <w:ind w:firstLine="567"/>
        <w:jc w:val="both"/>
      </w:pPr>
      <w:r>
        <w:rPr>
          <w:rFonts w:ascii="Arial" w:cs="Arial" w:eastAsia="Arial" w:hAnsi="Arial"/>
          <w:sz w:val="24"/>
          <w:szCs w:val="24"/>
        </w:rPr>
        <w:t xml:space="preserve">Принятые меры будут способствовать совершенствованию нормативных правовых актов в сфере интеллектуальной собственности; формированию единого видения, созданию и развитию национальной инновационной системы; созданию площадки для сотрудничества между малым и средним предпринимательством, фермерами, государственными структурами и наукой страны; обучению представителей бизнес-сообщества, исследовательских институтов практическим навыкам управления правами интеллектуальной собственности и их охраны; развитию и стимулированию интеллектуального потенциала творческой молодежи; поощрению и стимулированию творческой деятельности молодых авторов; автоматизацию процесса рассмотрения заявок на объекты интеллектуальной собственности; информированности населения о вреде контрафактной продукции, содержащей объекты интеллектуальной собственности; формированию группы представителей СМИ, специализирующихся в вопросах интеллектуальной собственности.</w:t>
      </w:r>
    </w:p>
    <w:p>
      <w:pPr>
        <w:spacing w:after="200" w:before="200"/>
        <w:jc w:val="center"/>
      </w:pPr>
      <w:r>
        <w:rPr>
          <w:rFonts w:ascii="Arial" w:cs="Arial" w:eastAsia="Arial" w:hAnsi="Arial"/>
          <w:b/>
          <w:bCs/>
          <w:sz w:val="32"/>
          <w:szCs w:val="32"/>
        </w:rPr>
        <w:t xml:space="preserve">8. Экологическая безопасность и охрана окружающей среды</w:t>
      </w:r>
    </w:p>
    <w:p>
      <w:pPr>
        <w:spacing w:after="60"/>
        <w:ind w:firstLine="567"/>
        <w:jc w:val="both"/>
      </w:pPr>
      <w:r>
        <w:rPr>
          <w:rFonts w:ascii="Arial" w:cs="Arial" w:eastAsia="Arial" w:hAnsi="Arial"/>
          <w:sz w:val="24"/>
          <w:szCs w:val="24"/>
        </w:rPr>
        <w:t xml:space="preserve">Работа в области охраны окружающей среды и обеспечения экологической безопасности будет направлена на продолжение реализации единой государственной политики в области экологической безопасности и охраны окружающей среды, охватывающей все аспекты устойчивости экосистем. Экономическая политика будет ориентирована на рациональное использование природных ресурсов для обеспечения устойчивого экономического роста через повышение конкурентоспособности страны, интенсификацию развития и опережающий рост производительности труда.</w:t>
      </w:r>
    </w:p>
    <w:p>
      <w:pPr>
        <w:spacing w:after="60"/>
        <w:ind w:firstLine="567"/>
        <w:jc w:val="both"/>
      </w:pPr>
      <w:r>
        <w:rPr>
          <w:rFonts w:ascii="Arial" w:cs="Arial" w:eastAsia="Arial" w:hAnsi="Arial"/>
          <w:sz w:val="24"/>
          <w:szCs w:val="24"/>
        </w:rPr>
        <w:t xml:space="preserve">Основной целью работы в данной области будет комплексная реализация мер, направленных на обеспечение гарантии защищенности окружающей среды и жизненно важных интересов граждан от возможного негативного воздействия хозяйственной и иной деятельности, сохранения уникальных экосистем для настоящих и будущих поколений.</w:t>
      </w:r>
    </w:p>
    <w:p>
      <w:pPr>
        <w:spacing w:after="60"/>
        <w:ind w:firstLine="567"/>
        <w:jc w:val="both"/>
      </w:pPr>
      <w:r>
        <w:rPr>
          <w:rFonts w:ascii="Arial" w:cs="Arial" w:eastAsia="Arial" w:hAnsi="Arial"/>
          <w:sz w:val="24"/>
          <w:szCs w:val="24"/>
        </w:rPr>
        <w:t xml:space="preserve">Экологическая устойчивость является основой природной составляющей национальной безопасности и устойчивого развития страны. Только неразрывная взаимосвязь и точно выявленная взаимозависимость экономики и социальных аспектов с экологической устойчивостью делают процесс продвижения страны к устойчивому развитию предсказуемым и управляемым.</w:t>
      </w:r>
    </w:p>
    <w:p>
      <w:pPr>
        <w:spacing w:after="60"/>
        <w:ind w:firstLine="567"/>
        <w:jc w:val="both"/>
      </w:pPr>
      <w:r>
        <w:rPr>
          <w:rFonts w:ascii="Arial" w:cs="Arial" w:eastAsia="Arial" w:hAnsi="Arial"/>
          <w:sz w:val="24"/>
          <w:szCs w:val="24"/>
        </w:rPr>
        <w:t xml:space="preserve">Для обеспечения экологической безопасности приоритетными направлениями будут:</w:t>
      </w:r>
    </w:p>
    <w:p>
      <w:pPr>
        <w:spacing w:after="60"/>
        <w:ind w:firstLine="567"/>
        <w:jc w:val="both"/>
      </w:pPr>
      <w:r>
        <w:rPr>
          <w:rFonts w:ascii="Arial" w:cs="Arial" w:eastAsia="Arial" w:hAnsi="Arial"/>
          <w:sz w:val="24"/>
          <w:szCs w:val="24"/>
        </w:rPr>
        <w:t xml:space="preserve">- совершенствование национальной экологической политики и нормативной правовой базы для обеспечения экологической безопасности в целях достижения устойчивого развития страны, с учетом вопросов по изменению климата;</w:t>
      </w:r>
    </w:p>
    <w:p>
      <w:pPr>
        <w:spacing w:after="60"/>
        <w:ind w:firstLine="567"/>
        <w:jc w:val="both"/>
      </w:pPr>
      <w:r>
        <w:rPr>
          <w:rFonts w:ascii="Arial" w:cs="Arial" w:eastAsia="Arial" w:hAnsi="Arial"/>
          <w:sz w:val="24"/>
          <w:szCs w:val="24"/>
        </w:rPr>
        <w:t xml:space="preserve">- разработка и реализация единой национальной экологической политики;</w:t>
      </w:r>
    </w:p>
    <w:p>
      <w:pPr>
        <w:spacing w:after="60"/>
        <w:ind w:firstLine="567"/>
        <w:jc w:val="both"/>
      </w:pPr>
      <w:r>
        <w:rPr>
          <w:rFonts w:ascii="Arial" w:cs="Arial" w:eastAsia="Arial" w:hAnsi="Arial"/>
          <w:sz w:val="24"/>
          <w:szCs w:val="24"/>
        </w:rPr>
        <w:t xml:space="preserve">- совершенствование природоохранного законодательства и экономических механизмов природопользования;</w:t>
      </w:r>
    </w:p>
    <w:p>
      <w:pPr>
        <w:spacing w:after="60"/>
        <w:ind w:firstLine="567"/>
        <w:jc w:val="both"/>
      </w:pPr>
      <w:r>
        <w:rPr>
          <w:rFonts w:ascii="Arial" w:cs="Arial" w:eastAsia="Arial" w:hAnsi="Arial"/>
          <w:sz w:val="24"/>
          <w:szCs w:val="24"/>
        </w:rPr>
        <w:t xml:space="preserve">- повышение эффективности политики и мер по сохранению биоразнообразия и устойчивого развития лесных экосистем;</w:t>
      </w:r>
    </w:p>
    <w:p>
      <w:pPr>
        <w:spacing w:after="60"/>
        <w:ind w:firstLine="567"/>
        <w:jc w:val="both"/>
      </w:pPr>
      <w:r>
        <w:rPr>
          <w:rFonts w:ascii="Arial" w:cs="Arial" w:eastAsia="Arial" w:hAnsi="Arial"/>
          <w:sz w:val="24"/>
          <w:szCs w:val="24"/>
        </w:rPr>
        <w:t xml:space="preserve">- проведение государственной экологической экспертизы;</w:t>
      </w:r>
    </w:p>
    <w:p>
      <w:pPr>
        <w:spacing w:after="60"/>
        <w:ind w:firstLine="567"/>
        <w:jc w:val="both"/>
      </w:pPr>
      <w:r>
        <w:rPr>
          <w:rFonts w:ascii="Arial" w:cs="Arial" w:eastAsia="Arial" w:hAnsi="Arial"/>
          <w:sz w:val="24"/>
          <w:szCs w:val="24"/>
        </w:rPr>
        <w:t xml:space="preserve">- осуществление государственного экологического мониторинга окружающей среды;</w:t>
      </w:r>
    </w:p>
    <w:p>
      <w:pPr>
        <w:spacing w:after="60"/>
        <w:ind w:firstLine="567"/>
        <w:jc w:val="both"/>
      </w:pPr>
      <w:r>
        <w:rPr>
          <w:rFonts w:ascii="Arial" w:cs="Arial" w:eastAsia="Arial" w:hAnsi="Arial"/>
          <w:sz w:val="24"/>
          <w:szCs w:val="24"/>
        </w:rPr>
        <w:t xml:space="preserve">- сохранение и воспроизводство ресурсов биоразнообразия, увеличение площади особо охраняемых природных территорий (ООПТ);</w:t>
      </w:r>
    </w:p>
    <w:p>
      <w:pPr>
        <w:spacing w:after="60"/>
        <w:ind w:firstLine="567"/>
        <w:jc w:val="both"/>
      </w:pPr>
      <w:r>
        <w:rPr>
          <w:rFonts w:ascii="Arial" w:cs="Arial" w:eastAsia="Arial" w:hAnsi="Arial"/>
          <w:sz w:val="24"/>
          <w:szCs w:val="24"/>
        </w:rPr>
        <w:t xml:space="preserve">- лесовосстановление и увеличение площадей, покрытых лесом;</w:t>
      </w:r>
    </w:p>
    <w:p>
      <w:pPr>
        <w:spacing w:after="60"/>
        <w:ind w:firstLine="567"/>
        <w:jc w:val="both"/>
      </w:pPr>
      <w:r>
        <w:rPr>
          <w:rFonts w:ascii="Arial" w:cs="Arial" w:eastAsia="Arial" w:hAnsi="Arial"/>
          <w:sz w:val="24"/>
          <w:szCs w:val="24"/>
        </w:rPr>
        <w:t xml:space="preserve">- проведение лесоохотустройства;</w:t>
      </w:r>
    </w:p>
    <w:p>
      <w:pPr>
        <w:spacing w:after="60"/>
        <w:ind w:firstLine="567"/>
        <w:jc w:val="both"/>
      </w:pPr>
      <w:r>
        <w:rPr>
          <w:rFonts w:ascii="Arial" w:cs="Arial" w:eastAsia="Arial" w:hAnsi="Arial"/>
          <w:sz w:val="24"/>
          <w:szCs w:val="24"/>
        </w:rPr>
        <w:t xml:space="preserve">- надзор и регулирование рационального использования природных ресурсов;</w:t>
      </w:r>
    </w:p>
    <w:p>
      <w:pPr>
        <w:spacing w:after="60"/>
        <w:ind w:firstLine="567"/>
        <w:jc w:val="both"/>
      </w:pPr>
      <w:r>
        <w:rPr>
          <w:rFonts w:ascii="Arial" w:cs="Arial" w:eastAsia="Arial" w:hAnsi="Arial"/>
          <w:sz w:val="24"/>
          <w:szCs w:val="24"/>
        </w:rPr>
        <w:t xml:space="preserve">- осуществление международного сотрудничества;</w:t>
      </w:r>
    </w:p>
    <w:p>
      <w:pPr>
        <w:spacing w:after="60"/>
        <w:ind w:firstLine="567"/>
        <w:jc w:val="both"/>
      </w:pPr>
      <w:r>
        <w:rPr>
          <w:rFonts w:ascii="Arial" w:cs="Arial" w:eastAsia="Arial" w:hAnsi="Arial"/>
          <w:sz w:val="24"/>
          <w:szCs w:val="24"/>
        </w:rPr>
        <w:t xml:space="preserve">- информирование общественности, экологическое образование;</w:t>
      </w:r>
    </w:p>
    <w:p>
      <w:pPr>
        <w:spacing w:after="60"/>
        <w:ind w:firstLine="567"/>
        <w:jc w:val="both"/>
      </w:pPr>
      <w:r>
        <w:rPr>
          <w:rFonts w:ascii="Arial" w:cs="Arial" w:eastAsia="Arial" w:hAnsi="Arial"/>
          <w:sz w:val="24"/>
          <w:szCs w:val="24"/>
        </w:rPr>
        <w:t xml:space="preserve">- софинансирование природоохранных мероприятий.</w:t>
      </w:r>
    </w:p>
    <w:p>
      <w:pPr>
        <w:spacing w:after="60"/>
        <w:ind w:firstLine="567"/>
        <w:jc w:val="both"/>
      </w:pPr>
      <w:r>
        <w:rPr>
          <w:rFonts w:ascii="Arial" w:cs="Arial" w:eastAsia="Arial" w:hAnsi="Arial"/>
          <w:sz w:val="24"/>
          <w:szCs w:val="24"/>
        </w:rPr>
        <w:t xml:space="preserve">Данные направления будут продвигаться через реализацию мероприятий, предусмотренных в Национальной стратегии устойчивого развития Кыргызской Республики на период 2013-2017 годы.</w:t>
      </w:r>
    </w:p>
    <w:p>
      <w:pPr>
        <w:spacing w:after="200" w:before="200"/>
        <w:jc w:val="center"/>
      </w:pPr>
      <w:r>
        <w:rPr>
          <w:rFonts w:ascii="Arial" w:cs="Arial" w:eastAsia="Arial" w:hAnsi="Arial"/>
          <w:b/>
          <w:bCs/>
          <w:sz w:val="32"/>
          <w:szCs w:val="32"/>
        </w:rPr>
        <w:t xml:space="preserve">9. Развитие реального сектора</w:t>
      </w:r>
    </w:p>
    <w:p>
      <w:pPr>
        <w:spacing w:after="60" w:before="200"/>
        <w:ind w:firstLine="567"/>
        <w:jc w:val="left"/>
      </w:pPr>
      <w:r>
        <w:rPr>
          <w:rFonts w:ascii="Arial" w:cs="Arial" w:eastAsia="Arial" w:hAnsi="Arial"/>
          <w:b/>
          <w:bCs/>
          <w:sz w:val="24"/>
          <w:szCs w:val="24"/>
        </w:rPr>
        <w:t xml:space="preserve">1. Сельское хозяйство</w:t>
      </w:r>
    </w:p>
    <w:p>
      <w:pPr>
        <w:spacing w:after="60"/>
        <w:ind w:firstLine="567"/>
        <w:jc w:val="both"/>
      </w:pPr>
      <w:r>
        <w:rPr>
          <w:rFonts w:ascii="Arial" w:cs="Arial" w:eastAsia="Arial" w:hAnsi="Arial"/>
          <w:sz w:val="24"/>
          <w:szCs w:val="24"/>
        </w:rPr>
        <w:t xml:space="preserve">Основной целью развития сельского хозяйства является создание условий для роста производства, повышения качества продукции и обеспечения продовольственной безопасности страны. Развитие сельского хозяйства будет сконцентрировано на следующих приоритетных направлениях: (1) создание эффективных систем управления сельским хозяйством и подготовки кадров, предпосылок для концентрации сельскохозяйственного производства; (2) поддержка роста производства и экспорта агропромышленной продукции; (3) обеспечение сельскохозяйственного производства сервисными услугами; (4) повышение эффективности рационального использования водных и земельных ресурсов. Для продвижения указанных направлений будут реализованы меры, заложенные в Программе по переходу Кыргызской Республики к устойчивому развитию на 2013-2017 годы.</w:t>
      </w:r>
    </w:p>
    <w:p>
      <w:pPr>
        <w:spacing w:after="60"/>
        <w:ind w:firstLine="567"/>
        <w:jc w:val="both"/>
      </w:pPr>
      <w:r>
        <w:rPr>
          <w:rFonts w:ascii="Arial" w:cs="Arial" w:eastAsia="Arial" w:hAnsi="Arial"/>
          <w:sz w:val="24"/>
          <w:szCs w:val="24"/>
        </w:rPr>
        <w:t xml:space="preserve">Валовой выпуск продукции сельского хозяйства, лесного хозяйства и рыболовства в 2016 году прогнозируется в объеме 234,8 млрд. сомов, а темп реального прироста - на уровне 2,5%, с удельным весом в общем объеме ВВП 14,3%, а вклад в рост ВВП - 0,36 процентного пункта, за счет прироста в растениеводстве на 3,0% и животноводстве - на 2,0%.</w:t>
      </w:r>
    </w:p>
    <w:p>
      <w:pPr>
        <w:spacing w:after="60" w:before="120"/>
        <w:ind w:firstLine="567"/>
        <w:jc w:val="right"/>
      </w:pPr>
      <w:r>
        <w:rPr>
          <w:rFonts w:ascii="Arial" w:cs="Arial" w:eastAsia="Arial" w:hAnsi="Arial"/>
          <w:sz w:val="24"/>
          <w:szCs w:val="24"/>
        </w:rPr>
        <w:t xml:space="preserve">Таблица 11</w:t>
      </w:r>
    </w:p>
    <w:p>
      <w:pPr>
        <w:spacing w:after="200" w:before="200"/>
        <w:jc w:val="center"/>
      </w:pPr>
      <w:r>
        <w:rPr>
          <w:rFonts w:ascii="Arial" w:cs="Arial" w:eastAsia="Arial" w:hAnsi="Arial"/>
          <w:b/>
          <w:bCs/>
          <w:sz w:val="32"/>
          <w:szCs w:val="32"/>
        </w:rPr>
        <w:t xml:space="preserve">Динамика темпов роста в сельском хозяйстве на 2015-2016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40"/>
        <w:gridCol w:w="1060"/>
        <w:gridCol w:w="1060"/>
        <w:gridCol w:w="1060"/>
        <w:gridCol w:w="1060"/>
      </w:tblGrid>
      <w:tr>
        <w:tc>
          <w:tcPr>
            <w:tcW w:type="dxa" w:w="594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12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 ожид.</w:t>
            </w:r>
          </w:p>
        </w:tc>
        <w:tc>
          <w:tcPr>
            <w:tcW w:type="dxa" w:w="212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 прогноз</w:t>
            </w:r>
          </w:p>
        </w:tc>
      </w:tr>
      <w:tr>
        <w:tc>
          <w:tcPr>
            <w:vMerge w:val="continue"/>
            <w:tcBorders>
              <w:top w:val="single" w:color="CBBF9E" w:sz="4"/>
              <w:left w:val="single" w:color="CBBF9E" w:sz="4"/>
              <w:bottom w:val="single" w:color="CBBF9E" w:sz="4"/>
              <w:right w:val="single" w:color="CBBF9E" w:sz="4"/>
            </w:tcBorders>
          </w:tcP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59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сельского хозяйства, лесного хозяйства и рыболовства</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210230,7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234770,3</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59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растениеводство</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109921,1</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123123,5</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59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животноводство</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96516,3</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107703,5</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bl>
    <w:p>
      <w:pPr>
        <w:spacing w:after="60" w:before="120"/>
        <w:ind w:firstLine="567"/>
        <w:jc w:val="both"/>
      </w:pPr>
      <w:r>
        <w:rPr>
          <w:rFonts w:ascii="Arial" w:cs="Arial" w:eastAsia="Arial" w:hAnsi="Arial"/>
          <w:sz w:val="24"/>
          <w:szCs w:val="24"/>
        </w:rPr>
        <w:t xml:space="preserve">Структура производства сельского хозяйства представлена, в основном, продукцией растениеводства и животноводства с соответствующим удельным весом 52,4% и 45,9%.</w:t>
      </w:r>
    </w:p>
    <w:p>
      <w:pPr>
        <w:spacing w:after="60"/>
        <w:ind w:firstLine="567"/>
        <w:jc w:val="both"/>
      </w:pPr>
      <w:r>
        <w:rPr>
          <w:rFonts w:ascii="Arial" w:cs="Arial" w:eastAsia="Arial" w:hAnsi="Arial"/>
          <w:sz w:val="24"/>
          <w:szCs w:val="24"/>
        </w:rPr>
        <w:t xml:space="preserve">В 2016 году прогнозируемые темпы роста в растениеводстве будут обеспечены за счет сокращения неиспользованных пахотных земель, восстановления почвенного плодородия земель сельскохозяйственного назначения и проведения комплекса защитных мероприятий против основных особо опасных вредителей, болезней и сорняков, создания благоприятной агрохимической и фитосанитарной обстановки в отрасли земледелия, увеличения удельного веса высеваемых кондиционных семян зерновых колосовых культур, улучшения материально-технической базы сельского хозяйства, углубления земельной реформы, рационального использования пастбищ, повышения урожайности технических культур, своевременного проведения весенне-полевых работ, оптимизации структуры посевных площадей, улучшения сортов семян, обновления машинно-тракторного парка.</w:t>
      </w:r>
    </w:p>
    <w:p>
      <w:pPr>
        <w:spacing w:after="60"/>
        <w:ind w:firstLine="567"/>
        <w:jc w:val="both"/>
      </w:pPr>
      <w:r>
        <w:rPr>
          <w:rFonts w:ascii="Arial" w:cs="Arial" w:eastAsia="Arial" w:hAnsi="Arial"/>
          <w:sz w:val="24"/>
          <w:szCs w:val="24"/>
        </w:rPr>
        <w:t xml:space="preserve">В целях максимально эффективного и целесообразного использования площадей для сельскохозяйственного производства, а также учитывая членство республики в интеграционном объединении ЕАЭС, планируется увеличение посевной площади некоторых видов агропромышленной продукции местного производства: овощей, бахчевых, картофеля, плодово-ягодных.</w:t>
      </w:r>
    </w:p>
    <w:p>
      <w:pPr>
        <w:spacing w:after="60"/>
        <w:ind w:firstLine="567"/>
        <w:jc w:val="both"/>
      </w:pPr>
      <w:r>
        <w:rPr>
          <w:rFonts w:ascii="Arial" w:cs="Arial" w:eastAsia="Arial" w:hAnsi="Arial"/>
          <w:sz w:val="24"/>
          <w:szCs w:val="24"/>
        </w:rPr>
        <w:t xml:space="preserve">Вместе с тем, учитывая предложение агропромышленной продукции государств - членов ЕАЭС, возникает необходимость в сокращении посевной площади пшеницы, поскольку сельские товаропроизводители Кыргызской Республики получат доступ к приобретению в Республике Казахстан и Российской Федерации более дешевого и высококачественного продовольственного зерна пшеницы.</w:t>
      </w:r>
    </w:p>
    <w:p>
      <w:pPr>
        <w:spacing w:after="60"/>
        <w:ind w:firstLine="567"/>
        <w:jc w:val="both"/>
      </w:pPr>
      <w:r>
        <w:rPr>
          <w:rFonts w:ascii="Arial" w:cs="Arial" w:eastAsia="Arial" w:hAnsi="Arial"/>
          <w:sz w:val="24"/>
          <w:szCs w:val="24"/>
        </w:rPr>
        <w:t xml:space="preserve">Подобная ситуация сложилась и с растительным маслом, в связи, с чем посевы масличных культур постепенно будут сокращаться.</w:t>
      </w:r>
    </w:p>
    <w:p>
      <w:pPr>
        <w:spacing w:after="60"/>
        <w:ind w:firstLine="567"/>
        <w:jc w:val="both"/>
      </w:pPr>
      <w:r>
        <w:rPr>
          <w:rFonts w:ascii="Arial" w:cs="Arial" w:eastAsia="Arial" w:hAnsi="Arial"/>
          <w:sz w:val="24"/>
          <w:szCs w:val="24"/>
        </w:rPr>
        <w:t xml:space="preserve">Принимая во внимание спрос Российской Федерации и Республики Казахстан на мясо-молочную продукцию, необходимо ежегодное увеличение поголовья скота и других видов сельскохозяйственных животных. В этой связи для обеспечения прочной кормовой базы в виде концентрированных, грубых и сочных кормов, планируется расширить посевные площади кукурузы на зерно, посевы ячменя, многолетних кормовых бобовых.</w:t>
      </w:r>
    </w:p>
    <w:p>
      <w:pPr>
        <w:spacing w:after="60"/>
        <w:ind w:firstLine="567"/>
        <w:jc w:val="both"/>
      </w:pPr>
      <w:r>
        <w:rPr>
          <w:rFonts w:ascii="Arial" w:cs="Arial" w:eastAsia="Arial" w:hAnsi="Arial"/>
          <w:sz w:val="24"/>
          <w:szCs w:val="24"/>
        </w:rPr>
        <w:t xml:space="preserve">В производстве продукции животноводства реальный прирост будет обеспечен путем увеличения поголовья скота, повышения селекционно-племенной работы за счет расширения сети зооветсервисов и частных ветеринарных служб. В 2016 году рост производства мяса в живом весе прогнозируется на уровне 2,0% и по сравнению с предыдущим годом производство увеличится на 7,7 тыс. тонн, молочной продукции - на 2,0%, с увеличением на 29,6 тыс. тонн, яиц - на 2,4%, с увеличением на 11,0 млн. штук и шерсти - на 1,7%, с увеличением на 0,2 тыс. тонн.</w:t>
      </w:r>
    </w:p>
    <w:p>
      <w:pPr>
        <w:spacing w:after="60"/>
        <w:ind w:firstLine="567"/>
        <w:jc w:val="both"/>
      </w:pPr>
      <w:r>
        <w:rPr>
          <w:rFonts w:ascii="Arial" w:cs="Arial" w:eastAsia="Arial" w:hAnsi="Arial"/>
          <w:sz w:val="24"/>
          <w:szCs w:val="24"/>
        </w:rPr>
        <w:t xml:space="preserve">На достижение целевых показателей производства сельского хозяйства в 2016 году будут влиять следующие предпосылки:</w:t>
      </w:r>
    </w:p>
    <w:p>
      <w:pPr>
        <w:spacing w:after="60"/>
        <w:ind w:firstLine="567"/>
        <w:jc w:val="both"/>
      </w:pPr>
      <w:r>
        <w:rPr>
          <w:rFonts w:ascii="Arial" w:cs="Arial" w:eastAsia="Arial" w:hAnsi="Arial"/>
          <w:sz w:val="24"/>
          <w:szCs w:val="24"/>
        </w:rPr>
        <w:t xml:space="preserve">- эффект от предоставленных льготных кредитов по программам "Доступные кредиты фермерам" и "Финансирование сельского хозяйства", в рамках которых на сегодняшний день выдано более 12,0 млрд. сомов;</w:t>
      </w:r>
    </w:p>
    <w:p>
      <w:pPr>
        <w:spacing w:after="60"/>
        <w:ind w:firstLine="567"/>
        <w:jc w:val="both"/>
      </w:pPr>
      <w:r>
        <w:rPr>
          <w:rFonts w:ascii="Arial" w:cs="Arial" w:eastAsia="Arial" w:hAnsi="Arial"/>
          <w:sz w:val="24"/>
          <w:szCs w:val="24"/>
        </w:rPr>
        <w:t xml:space="preserve">- обновление основных средств сельскохозяйственного производства, расширение инфраструктуры технических сервисных служб и модернизация машинно-тракторного парка сельскохозяйственных субъектов страны;</w:t>
      </w:r>
    </w:p>
    <w:p>
      <w:pPr>
        <w:spacing w:after="60"/>
        <w:ind w:firstLine="567"/>
        <w:jc w:val="both"/>
      </w:pPr>
      <w:r>
        <w:rPr>
          <w:rFonts w:ascii="Arial" w:cs="Arial" w:eastAsia="Arial" w:hAnsi="Arial"/>
          <w:sz w:val="24"/>
          <w:szCs w:val="24"/>
        </w:rPr>
        <w:t xml:space="preserve">- продолжение практики предоставления льготных кредитов сельскохозяйственным производителям;</w:t>
      </w:r>
    </w:p>
    <w:p>
      <w:pPr>
        <w:spacing w:after="60"/>
        <w:ind w:firstLine="567"/>
        <w:jc w:val="both"/>
      </w:pPr>
      <w:r>
        <w:rPr>
          <w:rFonts w:ascii="Arial" w:cs="Arial" w:eastAsia="Arial" w:hAnsi="Arial"/>
          <w:sz w:val="24"/>
          <w:szCs w:val="24"/>
        </w:rPr>
        <w:t xml:space="preserve">- продолжение государственной поддержки по предоставлению льгот по доступу к горюче-смазочным материалам, обеспечению фермеров необходимой сельхозтехникой на льготных кредитных условиях, путем закупки сельхозтехники по лизингу; решению проблемы обеспечения крестьян и фермеров азотными минеральными удобрениями;</w:t>
      </w:r>
    </w:p>
    <w:p>
      <w:pPr>
        <w:spacing w:after="60"/>
        <w:ind w:firstLine="567"/>
        <w:jc w:val="both"/>
      </w:pPr>
      <w:r>
        <w:rPr>
          <w:rFonts w:ascii="Arial" w:cs="Arial" w:eastAsia="Arial" w:hAnsi="Arial"/>
          <w:sz w:val="24"/>
          <w:szCs w:val="24"/>
        </w:rPr>
        <w:t xml:space="preserve">- открытие границ государств - членов ЕАЭС, что позволит получить возможность приобретения необходимых материально-технических ресурсов, минеральных удобрений, средств защиты растений и высокопродуктивных семян, а также экспорта агропромышленной продукции;</w:t>
      </w:r>
    </w:p>
    <w:p>
      <w:pPr>
        <w:spacing w:after="60"/>
        <w:ind w:firstLine="567"/>
        <w:jc w:val="both"/>
      </w:pPr>
      <w:r>
        <w:rPr>
          <w:rFonts w:ascii="Arial" w:cs="Arial" w:eastAsia="Arial" w:hAnsi="Arial"/>
          <w:sz w:val="24"/>
          <w:szCs w:val="24"/>
        </w:rPr>
        <w:t xml:space="preserve">- укрепление и обновление материально-технической базы государственных сортоиспытательных станций и государственных сортоиспытательных участков, увеличение объемов производства их семян в питомниках размножения для ускоренного внедрения в производство;</w:t>
      </w:r>
    </w:p>
    <w:p>
      <w:pPr>
        <w:spacing w:after="60"/>
        <w:ind w:firstLine="567"/>
        <w:jc w:val="both"/>
      </w:pPr>
      <w:r>
        <w:rPr>
          <w:rFonts w:ascii="Arial" w:cs="Arial" w:eastAsia="Arial" w:hAnsi="Arial"/>
          <w:sz w:val="24"/>
          <w:szCs w:val="24"/>
        </w:rPr>
        <w:t xml:space="preserve">- реализация проекта Американского агентства по международному развитию (ЮСАИД) "Агро Горизонт" путем расширения рынков и повышения конкурентоспособности предприятий - производителей фруктов, овощей и молочной продукции;</w:t>
      </w:r>
    </w:p>
    <w:p>
      <w:pPr>
        <w:spacing w:after="60"/>
        <w:ind w:firstLine="567"/>
        <w:jc w:val="both"/>
      </w:pPr>
      <w:r>
        <w:rPr>
          <w:rFonts w:ascii="Arial" w:cs="Arial" w:eastAsia="Arial" w:hAnsi="Arial"/>
          <w:sz w:val="24"/>
          <w:szCs w:val="24"/>
        </w:rPr>
        <w:t xml:space="preserve">- доведение в севообороте площадей многолетних трав до 30% и рациональное использование кормового потенциала пастбищ;</w:t>
      </w:r>
    </w:p>
    <w:p>
      <w:pPr>
        <w:spacing w:after="60"/>
        <w:ind w:firstLine="567"/>
        <w:jc w:val="both"/>
      </w:pPr>
      <w:r>
        <w:rPr>
          <w:rFonts w:ascii="Arial" w:cs="Arial" w:eastAsia="Arial" w:hAnsi="Arial"/>
          <w:sz w:val="24"/>
          <w:szCs w:val="24"/>
        </w:rPr>
        <w:t xml:space="preserve">- обеспечение благополучия эпизоотической обстановки в животноводстве по острозаразным болезням;</w:t>
      </w:r>
    </w:p>
    <w:p>
      <w:pPr>
        <w:spacing w:after="60"/>
        <w:ind w:firstLine="567"/>
        <w:jc w:val="both"/>
      </w:pPr>
      <w:r>
        <w:rPr>
          <w:rFonts w:ascii="Arial" w:cs="Arial" w:eastAsia="Arial" w:hAnsi="Arial"/>
          <w:sz w:val="24"/>
          <w:szCs w:val="24"/>
        </w:rPr>
        <w:t xml:space="preserve">- рациональное использование генофонда сельскохозяйственных животных и птиц, повышение эффективности селекционно-племенной работы, создание в каждом айылном аймаке пунктов искусственного осеменения, с использованием ценного генетического материала;</w:t>
      </w:r>
    </w:p>
    <w:p>
      <w:pPr>
        <w:spacing w:after="60"/>
        <w:ind w:firstLine="567"/>
        <w:jc w:val="both"/>
      </w:pPr>
      <w:r>
        <w:rPr>
          <w:rFonts w:ascii="Arial" w:cs="Arial" w:eastAsia="Arial" w:hAnsi="Arial"/>
          <w:sz w:val="24"/>
          <w:szCs w:val="24"/>
        </w:rPr>
        <w:t xml:space="preserve">- увеличение поголовья племенных животных на 1,5-2,0%;</w:t>
      </w:r>
    </w:p>
    <w:p>
      <w:pPr>
        <w:spacing w:after="60"/>
        <w:ind w:firstLine="567"/>
        <w:jc w:val="both"/>
      </w:pPr>
      <w:r>
        <w:rPr>
          <w:rFonts w:ascii="Arial" w:cs="Arial" w:eastAsia="Arial" w:hAnsi="Arial"/>
          <w:sz w:val="24"/>
          <w:szCs w:val="24"/>
        </w:rPr>
        <w:t xml:space="preserve">- улучшение воспроизводства стада путем применения сбалансированных и полноценных по питательным веществам рационов;</w:t>
      </w:r>
    </w:p>
    <w:p>
      <w:pPr>
        <w:spacing w:after="60"/>
        <w:ind w:firstLine="567"/>
        <w:jc w:val="both"/>
      </w:pPr>
      <w:r>
        <w:rPr>
          <w:rFonts w:ascii="Arial" w:cs="Arial" w:eastAsia="Arial" w:hAnsi="Arial"/>
          <w:sz w:val="24"/>
          <w:szCs w:val="24"/>
        </w:rPr>
        <w:t xml:space="preserve">- привлечение прямых инвестиций и собственных средств на развитие отрасли.</w:t>
      </w:r>
    </w:p>
    <w:p>
      <w:pPr>
        <w:spacing w:after="60"/>
        <w:ind w:firstLine="567"/>
        <w:jc w:val="both"/>
      </w:pPr>
      <w:r>
        <w:rPr>
          <w:rFonts w:ascii="Arial" w:cs="Arial" w:eastAsia="Arial" w:hAnsi="Arial"/>
          <w:sz w:val="24"/>
          <w:szCs w:val="24"/>
        </w:rPr>
        <w:t xml:space="preserve">Сельскохозяйственная отрасль представлена почти во всех регионах республики. Основную долю занимают Иссык-Кульская (11,1%), Джалал-Абадская (21,6%), Ошская (16,9%) и Чуйская (21,8%) области.</w:t>
      </w:r>
    </w:p>
    <w:p>
      <w:pPr>
        <w:spacing w:after="60"/>
        <w:ind w:firstLine="567"/>
        <w:jc w:val="both"/>
      </w:pPr>
      <w:r>
        <w:rPr>
          <w:rFonts w:ascii="Arial" w:cs="Arial" w:eastAsia="Arial" w:hAnsi="Arial"/>
          <w:sz w:val="24"/>
          <w:szCs w:val="24"/>
        </w:rPr>
        <w:t xml:space="preserve">Основными рисками в данном секторе будут неблагоприятные природно-климатические условия, в т.ч. нехватка водных ресурсов; недостаточная обеспеченность семенами сельскохозяйственных культур; нехватка и неудовлетворительный уровень качества сельхозтехники; непредсказуемость цен на топливо и ГСМ; недостаточная заготовка кормов на зимний период; неблагоприятная эпизоотическая ситуация; неблагоприятное для производителя изменение рыночных цен; неэффективное использование направляемых льготных кредитных ресурсов государства; открытие с опозданием границ государств - членов ЕАЭС по причине несвоевременного выполнения Плана мероприятий "дорожной карты".</w:t>
      </w:r>
    </w:p>
    <w:p>
      <w:pPr>
        <w:spacing w:after="60" w:before="200"/>
        <w:ind w:firstLine="567"/>
        <w:jc w:val="left"/>
      </w:pPr>
      <w:r>
        <w:rPr>
          <w:rFonts w:ascii="Arial" w:cs="Arial" w:eastAsia="Arial" w:hAnsi="Arial"/>
          <w:b/>
          <w:bCs/>
          <w:sz w:val="24"/>
          <w:szCs w:val="24"/>
        </w:rPr>
        <w:t xml:space="preserve">9.2. Промышленность(20)</w:t>
      </w:r>
    </w:p>
    <w:p>
      <w:pPr>
        <w:spacing w:after="60"/>
        <w:ind w:firstLine="567"/>
        <w:jc w:val="both"/>
      </w:pPr>
      <w:r>
        <w:rPr>
          <w:rFonts w:ascii="Arial" w:cs="Arial" w:eastAsia="Arial" w:hAnsi="Arial"/>
          <w:sz w:val="24"/>
          <w:szCs w:val="24"/>
        </w:rPr>
        <w:t xml:space="preserve">Для формирования комплексного подхода по решению вопросов развития промышленности будет продолжена реализация Программы по переходу Кыргызской Республики к устойчивому развитию на 2013-2017 годы (постановление Жогорку Кенеша Кыргызской Республики от 18 декабря 2013 года № 3694-V), где определены основные стратегические направления промышленной политики - обеспечение благоприятного налогового климата, содействие инвестициям, экспорту и кооперации, стимулирование развития переработки отечественного сырья, продвижение исследований, разработок и инноваций, обеспечение электроэнергией потребностей экономики и достижение энергетической независимости страны; повышение устойчивости энергоснабжения потребителей и обеспечение достоверности учета произведенной и распределенной электроэнергии; создание различных форм кооперации сельского хозяйства с перерабатывающей промышленностью и торговлей; устойчивое развитие горнодобывающей отрасли при рациональном использовании минерально-сырьевого потенциала и минимизации воздействия на окружающую среду и др.</w:t>
      </w:r>
    </w:p>
    <w:p>
      <w:pPr>
        <w:spacing w:after="60"/>
        <w:ind w:firstLine="567"/>
        <w:jc w:val="both"/>
      </w:pPr>
      <w:r>
        <w:rPr>
          <w:rFonts w:ascii="Arial" w:cs="Arial" w:eastAsia="Arial" w:hAnsi="Arial"/>
          <w:sz w:val="24"/>
          <w:szCs w:val="24"/>
        </w:rPr>
        <w:t xml:space="preserve">В целях эффективного использования производственных мощностей и дальнейшего развития промышленного потенциала республики будут реализованы планы мероприятий по активизации деятельности действующих предприятий, предприятий с государственной долей участия и запуску новых производств, простаивающих предприятий. Будет продолжена реализация Плана Правительства Кыргызской Республики по развитию экспорта Кыргызской Республики на 2015-2017 годы (постановление Правительства Кыргызской Республики от 31 марта 2015 года № 174), где отведена приоритетная роль развитию текстильного и швейного производства на 2015-2017 годы, формированию благоприятных условий и повышению конкурентоспособности отрасли, обеспечению занятости населения. Важность швейной отрасли для экономики республики обусловлена не только ее значительным объемом производства и экспорта, но, прежде всего, социальной значимостью.</w:t>
      </w:r>
    </w:p>
    <w:p>
      <w:pPr>
        <w:spacing w:after="60"/>
        <w:ind w:firstLine="567"/>
        <w:jc w:val="both"/>
      </w:pPr>
      <w:r>
        <w:rPr>
          <w:rFonts w:ascii="Arial" w:cs="Arial" w:eastAsia="Arial" w:hAnsi="Arial"/>
          <w:sz w:val="24"/>
          <w:szCs w:val="24"/>
        </w:rPr>
        <w:t xml:space="preserve">Эксплуатация и наращивание объемов производства нефтеперерабатывающего завода ОсОО "Чайна Петроль Компани "Джунда" и Токмокского НПЗ позволят создать дополнительно 1000 рабочих мест, обеспечить бесперебойную поставку ГСМ отраслям экономики и населению.</w:t>
      </w:r>
    </w:p>
    <w:p>
      <w:pPr>
        <w:spacing w:after="60"/>
        <w:ind w:firstLine="567"/>
        <w:jc w:val="both"/>
      </w:pPr>
      <w:r>
        <w:rPr>
          <w:rFonts w:ascii="Arial" w:cs="Arial" w:eastAsia="Arial" w:hAnsi="Arial"/>
          <w:sz w:val="24"/>
          <w:szCs w:val="24"/>
        </w:rPr>
        <w:t xml:space="preserve">Изменение торговых условий, связанных с введением норм и требований ЕАЭС, применение технических регламентов государств - членов ЕАЭС предполагают проведение работы по модернизации испытательных лабораторий.</w:t>
      </w:r>
    </w:p>
    <w:p>
      <w:pPr>
        <w:spacing w:after="60"/>
        <w:ind w:firstLine="567"/>
        <w:jc w:val="both"/>
      </w:pPr>
      <w:r>
        <w:rPr>
          <w:rFonts w:ascii="Arial" w:cs="Arial" w:eastAsia="Arial" w:hAnsi="Arial"/>
          <w:sz w:val="24"/>
          <w:szCs w:val="24"/>
        </w:rPr>
        <w:t xml:space="preserve">Для развития энергетики будут реализованы меры, заложенные в Среднесрочной стратегии развития электроэнергетики Кыргызской Республики на 2012-2017 годы (постановление Правительства Кыргызской Республики от 28 мая 2012 года № 330). Политика развития энергетического сектора будет сфокусирована на четырех приоритетных направлениях для осуществления реформы: совершенствование регулирования развития энергетического сектора (реформа тарифной политики, реформа энергосектора); создание условий для стимулирования энергосбережения (реформа энергосбережения); развитие возобновляемых источников энергии; устойчивое развитие энергетического сектора и соблюдение норм экологической безопасности (реформа экспортоориентированной энергетики).</w:t>
      </w:r>
    </w:p>
    <w:p>
      <w:pPr>
        <w:spacing w:after="60"/>
        <w:ind w:firstLine="567"/>
        <w:jc w:val="both"/>
      </w:pPr>
      <w:r>
        <w:rPr>
          <w:rFonts w:ascii="Arial" w:cs="Arial" w:eastAsia="Arial" w:hAnsi="Arial"/>
          <w:sz w:val="24"/>
          <w:szCs w:val="24"/>
        </w:rPr>
        <w:t xml:space="preserve">Промышленность остается важнейшей отраслью экономики с точки зрения отчислений в бюджет и экспортных поставок. В общем объеме промышленной продукции пять отраслей являются экономикообразующими, в том числе четыре отрасли сферы обрабатывающей промышленности. Это - металлургическое и пищеперерабатывающее производства, текстильное и швейное производство, производство прочих неметаллических минеральных продуктов (строительные материалы) и энергетика, как отдельная отрасль промышленности. В совокупности указанные отрасли выпускают почти 80% промышленной продукции, и, соответственно, наибольшую долю в структуре экспорта обрабатывающей промышленности республики занимают золото, продовольственные товары, швейная продукция и строительные материалы.</w:t>
      </w:r>
    </w:p>
    <w:p>
      <w:pPr>
        <w:spacing w:after="60"/>
        <w:ind w:firstLine="567"/>
        <w:jc w:val="both"/>
      </w:pPr>
      <w:r>
        <w:rPr>
          <w:rFonts w:ascii="Arial" w:cs="Arial" w:eastAsia="Arial" w:hAnsi="Arial"/>
          <w:sz w:val="24"/>
          <w:szCs w:val="24"/>
        </w:rPr>
        <w:t xml:space="preserve">В последние годы развитие промышленности Кыргызстана характеризуется значительными колебаниями темпа роста. Во многом эти колебания обусловлены высокой зависимостью сектора от работы предприятий, разрабатывающих месторождение Кумтор (доля в промышленности около 40%).</w:t>
      </w:r>
    </w:p>
    <w:p>
      <w:pPr>
        <w:spacing w:after="60"/>
        <w:ind w:firstLine="567"/>
        <w:jc w:val="both"/>
      </w:pPr>
      <w:r>
        <w:rPr>
          <w:rFonts w:ascii="Arial" w:cs="Arial" w:eastAsia="Arial" w:hAnsi="Arial"/>
          <w:sz w:val="24"/>
          <w:szCs w:val="24"/>
        </w:rPr>
        <w:t xml:space="preserve">Прогноз развития промышленности на 2016 год подготовлен с учетом следующих основных факторов и предпосылок:</w:t>
      </w:r>
    </w:p>
    <w:p>
      <w:pPr>
        <w:spacing w:after="60"/>
        <w:ind w:firstLine="567"/>
        <w:jc w:val="both"/>
      </w:pPr>
      <w:r>
        <w:rPr>
          <w:rFonts w:ascii="Arial" w:cs="Arial" w:eastAsia="Arial" w:hAnsi="Arial"/>
          <w:sz w:val="24"/>
          <w:szCs w:val="24"/>
        </w:rPr>
        <w:t xml:space="preserve">- реализация крупных инвестиционных проектов в энергетике;</w:t>
      </w:r>
    </w:p>
    <w:p>
      <w:pPr>
        <w:spacing w:after="60"/>
        <w:ind w:firstLine="567"/>
        <w:jc w:val="both"/>
      </w:pPr>
      <w:r>
        <w:rPr>
          <w:rFonts w:ascii="Arial" w:cs="Arial" w:eastAsia="Arial" w:hAnsi="Arial"/>
          <w:sz w:val="24"/>
          <w:szCs w:val="24"/>
        </w:rPr>
        <w:t xml:space="preserve">- расчеты и предполагаемые ресурсы для открытой разработки на месторождении Кумтор;</w:t>
      </w:r>
    </w:p>
    <w:p>
      <w:pPr>
        <w:spacing w:after="60"/>
        <w:ind w:firstLine="567"/>
        <w:jc w:val="both"/>
      </w:pPr>
      <w:r>
        <w:rPr>
          <w:rFonts w:ascii="Arial" w:cs="Arial" w:eastAsia="Arial" w:hAnsi="Arial"/>
          <w:sz w:val="24"/>
          <w:szCs w:val="24"/>
        </w:rPr>
        <w:t xml:space="preserve">- наращивание объемов добычи руды на месторождениях Бозымчак и Талды-Булак-Левобережный, производства на введенных нефтеперерабатывающих предприятиях;</w:t>
      </w:r>
    </w:p>
    <w:p>
      <w:pPr>
        <w:spacing w:after="60"/>
        <w:ind w:firstLine="567"/>
        <w:jc w:val="both"/>
      </w:pPr>
      <w:r>
        <w:rPr>
          <w:rFonts w:ascii="Arial" w:cs="Arial" w:eastAsia="Arial" w:hAnsi="Arial"/>
          <w:sz w:val="24"/>
          <w:szCs w:val="24"/>
        </w:rPr>
        <w:t xml:space="preserve">- низкий уровень диверсификации производства (удельный вес 5-ти ключевых отраслей промышленности, без энергетики, составляет в среднем 70%, а на оставшиеся 14 отраслей приходится в среднем 30% промышленного производства. За последние несколько лет в обрабатывающей промышленности произошли значительные структурные изменения: исчезли некоторые отрасли и появились новые. Так, например, потеряны такие отрасли как производство хлопчатобумажных и шелковых тканей; вместо кожаной обуви стала выпускаться резиновая; практически прекращено производство продукции машиностроения - крупных электромашин, электродвигателей, металлорежущих станков, пресс-подборщиков, грузовых автомобилей, кузнечнопрессовых машин и т.д.);</w:t>
      </w:r>
    </w:p>
    <w:p>
      <w:pPr>
        <w:spacing w:after="60"/>
        <w:ind w:firstLine="567"/>
        <w:jc w:val="both"/>
      </w:pPr>
      <w:r>
        <w:rPr>
          <w:rFonts w:ascii="Arial" w:cs="Arial" w:eastAsia="Arial" w:hAnsi="Arial"/>
          <w:sz w:val="24"/>
          <w:szCs w:val="24"/>
        </w:rPr>
        <w:t xml:space="preserve">- ограниченный доступ к рынкам сбыта товаров чувствительных отраслей в условиях ЕАЭС, включая производство пищевых продуктов; швейное производство; производство строительных материалов (транспортная инфраструктура и требования технических регламентов, сертификации) и незначительные объемы производства;</w:t>
      </w:r>
    </w:p>
    <w:p>
      <w:pPr>
        <w:spacing w:after="60"/>
        <w:ind w:firstLine="567"/>
        <w:jc w:val="both"/>
      </w:pPr>
      <w:r>
        <w:rPr>
          <w:rFonts w:ascii="Arial" w:cs="Arial" w:eastAsia="Arial" w:hAnsi="Arial"/>
          <w:sz w:val="24"/>
          <w:szCs w:val="24"/>
        </w:rPr>
        <w:t xml:space="preserve">- экономическая ситуация в странах - основных торговых партнерах - Российской Федерации и Республике Казахстан (сокращение спроса, что в краткосрочном периоде негативно отразится на деятельности предприятий, экспортирующих продукцию на их рынки);</w:t>
      </w:r>
    </w:p>
    <w:p>
      <w:pPr>
        <w:spacing w:after="60"/>
        <w:ind w:firstLine="567"/>
        <w:jc w:val="both"/>
      </w:pPr>
      <w:r>
        <w:rPr>
          <w:rFonts w:ascii="Arial" w:cs="Arial" w:eastAsia="Arial" w:hAnsi="Arial"/>
          <w:sz w:val="24"/>
          <w:szCs w:val="24"/>
        </w:rPr>
        <w:t xml:space="preserve">- ограниченность доступа к энергоресурсам из-за дефицита электроэнергии;</w:t>
      </w:r>
    </w:p>
    <w:p>
      <w:pPr>
        <w:spacing w:after="60"/>
        <w:ind w:firstLine="567"/>
        <w:jc w:val="both"/>
      </w:pPr>
      <w:r>
        <w:rPr>
          <w:rFonts w:ascii="Arial" w:cs="Arial" w:eastAsia="Arial" w:hAnsi="Arial"/>
          <w:sz w:val="24"/>
          <w:szCs w:val="24"/>
        </w:rPr>
        <w:t xml:space="preserve">- высокая зависимость от импорта сырья и комплектующих;</w:t>
      </w:r>
    </w:p>
    <w:p>
      <w:pPr>
        <w:spacing w:after="60"/>
        <w:ind w:firstLine="567"/>
        <w:jc w:val="both"/>
      </w:pPr>
      <w:r>
        <w:rPr>
          <w:rFonts w:ascii="Arial" w:cs="Arial" w:eastAsia="Arial" w:hAnsi="Arial"/>
          <w:sz w:val="24"/>
          <w:szCs w:val="24"/>
        </w:rPr>
        <w:t xml:space="preserve">- прогнозируемое устойчивое укрепление доллара США может привести к относительному удорожанию импортируемых комплектующих и сырья, а значит и к росту себестоимости, что в итоге повлияет на сокращение спроса промышленной продукции на внутреннем и внешних рынках;</w:t>
      </w:r>
    </w:p>
    <w:p>
      <w:pPr>
        <w:spacing w:after="60"/>
        <w:ind w:firstLine="567"/>
        <w:jc w:val="both"/>
      </w:pPr>
      <w:r>
        <w:rPr>
          <w:rFonts w:ascii="Arial" w:cs="Arial" w:eastAsia="Arial" w:hAnsi="Arial"/>
          <w:sz w:val="24"/>
          <w:szCs w:val="24"/>
        </w:rPr>
        <w:t xml:space="preserve">- отсутствие резких скачков цен на золото (цена в пределах 1150-1200 долларов за 1 тройскую унцию). "Ровная" динамика связана с тем, что прогнозы мировых экспертов по поводу цен на золото в ближайшей перспективе расходятся. По мнению части из них, цена на золото может резко подскочить из-за высокого спроса и экономической необоснованности цены ниже 1200 долларов США за 1 тройскую унцию. Другие эксперты считают, что роста цен можно не ожидать. Укрепление доллара и американской экономики в целом будет сдерживать рост цен, так как пара "золото-доллар" демонстрирует некоторую обратную зависимость: рост одного тренда провоцирует падение другого.</w:t>
      </w:r>
    </w:p>
    <w:p>
      <w:pPr>
        <w:spacing w:after="60"/>
        <w:ind w:firstLine="567"/>
        <w:jc w:val="both"/>
      </w:pPr>
      <w:r>
        <w:rPr>
          <w:rFonts w:ascii="Arial" w:cs="Arial" w:eastAsia="Arial" w:hAnsi="Arial"/>
          <w:sz w:val="24"/>
          <w:szCs w:val="24"/>
        </w:rPr>
        <w:t xml:space="preserve">В результате, в промышленном секторе на 2016 год прогнозируется реальный прирост объемов производства на 9,2% за счет устойчивой работы действующих промышленных предприятий и наращивания объемов введенных в эксплуатацию новых месторождений. При этом, следует отметить влияние эффекта низкой базы ожидания 2015 года, где резкое колебание темпов роста в промышленности на 2016 год во многом обусловлено улучшением прогнозных значений производства на предприятиях, разрабатывающих месторождение Кумтор, после ожидаемого снижения добычи в 2015 году. Без учета предприятий по разработке месторождения Кумтор, реальный прирост промышленного производства прогнозируется на уровне 9,6%.</w:t>
      </w:r>
    </w:p>
    <w:p>
      <w:pPr>
        <w:spacing w:after="60" w:before="120"/>
        <w:ind w:firstLine="567"/>
        <w:jc w:val="right"/>
      </w:pPr>
      <w:r>
        <w:rPr>
          <w:rFonts w:ascii="Arial" w:cs="Arial" w:eastAsia="Arial" w:hAnsi="Arial"/>
          <w:sz w:val="24"/>
          <w:szCs w:val="24"/>
        </w:rPr>
        <w:t xml:space="preserve">Таблица 12</w:t>
      </w:r>
    </w:p>
    <w:p>
      <w:pPr>
        <w:spacing w:after="200" w:before="200"/>
        <w:jc w:val="center"/>
      </w:pPr>
      <w:r>
        <w:rPr>
          <w:rFonts w:ascii="Arial" w:cs="Arial" w:eastAsia="Arial" w:hAnsi="Arial"/>
          <w:b/>
          <w:bCs/>
          <w:sz w:val="32"/>
          <w:szCs w:val="32"/>
        </w:rPr>
        <w:t xml:space="preserve">Динамика темпов роста в отраслях промышленности,
 в процентах к предыдущему году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12"/>
        <w:gridCol w:w="1056"/>
        <w:gridCol w:w="1109"/>
      </w:tblGrid>
      <w:tr>
        <w:tc>
          <w:tcPr>
            <w:tcW w:type="dxa" w:w="801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11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r>
      <w:tr>
        <w:tc>
          <w:tcPr>
            <w:vMerge w:val="continue"/>
            <w:tcBorders>
              <w:top w:val="single" w:color="CBBF9E" w:sz="4"/>
              <w:left w:val="single" w:color="CBBF9E" w:sz="4"/>
              <w:bottom w:val="single" w:color="CBBF9E" w:sz="4"/>
              <w:right w:val="single" w:color="CBBF9E" w:sz="4"/>
            </w:tcBorders>
          </w:tcP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80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всего</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r>
      <w:tr>
        <w:tc>
          <w:tcPr>
            <w:tcW w:type="dxa" w:w="80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111,3</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r>
      <w:tr>
        <w:tc>
          <w:tcPr>
            <w:tcW w:type="dxa" w:w="80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0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добыча полезных ископаемых</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172,5</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r>
      <w:tr>
        <w:tc>
          <w:tcPr>
            <w:tcW w:type="dxa" w:w="80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обрабатывающие производства</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96,6</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r>
      <w:tr>
        <w:tc>
          <w:tcPr>
            <w:tcW w:type="dxa" w:w="80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обеспечение (снабжение) электроэнергией, газом, паром и кондиционированным воздухом</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80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водоснабжение, очистка, обработка отходов и получение вторичного сырья</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bl>
    <w:p>
      <w:pPr>
        <w:spacing w:after="60" w:before="120"/>
        <w:ind w:firstLine="567"/>
        <w:jc w:val="both"/>
      </w:pPr>
      <w:r>
        <w:rPr>
          <w:rFonts w:ascii="Arial" w:cs="Arial" w:eastAsia="Arial" w:hAnsi="Arial"/>
          <w:sz w:val="24"/>
          <w:szCs w:val="24"/>
        </w:rPr>
        <w:t xml:space="preserve">Положительный вклад в рост ВВП составит 1,41 процентного пункта, с удельным весом в общем объеме ВВП 14,4%.</w:t>
      </w:r>
    </w:p>
    <w:p>
      <w:pPr>
        <w:spacing w:after="60"/>
        <w:ind w:firstLine="567"/>
        <w:jc w:val="both"/>
      </w:pPr>
      <w:r>
        <w:rPr>
          <w:rFonts w:ascii="Arial" w:cs="Arial" w:eastAsia="Arial" w:hAnsi="Arial"/>
          <w:sz w:val="24"/>
          <w:szCs w:val="24"/>
        </w:rPr>
        <w:t xml:space="preserve">(1) В обрабатывающем производстве, с самым высоким удельным весом (77,2%) в производстве промышленной продукции, прогнозируется реальный прирост на 10,8%, который будет обеспечен в основном за счет:</w:t>
      </w:r>
    </w:p>
    <w:p>
      <w:pPr>
        <w:spacing w:after="60"/>
        <w:ind w:firstLine="567"/>
        <w:jc w:val="both"/>
      </w:pPr>
      <w:r>
        <w:rPr>
          <w:rFonts w:ascii="Arial" w:cs="Arial" w:eastAsia="Arial" w:hAnsi="Arial"/>
          <w:sz w:val="24"/>
          <w:szCs w:val="24"/>
        </w:rPr>
        <w:t xml:space="preserve">- производства основных металлов и готовых металлических изделий (рост на 14,0%), удельный вес в общем объеме промышленности составит 39,2%: (а) стабильная работа предприятий по разработке месторождения Кумтор, где прогнозируется прирост объемов на 8,6%; (б) наращивание объемов производства ОАО "Кыргызалтын" и на месторождении Талды-Булак Левобережный; (в) наращивание объемов производства за счет организации стабильной поставки сырья на ОАО "Кадамжайский сурьмяный комбинат"; (г) увеличение объемов производства за счет расширения производства и освоения новых видов товаров народного потребления ОАО "Кызыл-Кийский машиностроительный завод" - комплектующих изделий для строительства и сельского хозяйства, садово-огородного инвентаря, изготовления нестандартного оборудования; ОАО "БМЗ" - кормодробилок, мини-УДС, пневматических пуль "Диаболо" и др. Будет продолжена активная реализация Концепции развития ОАО "БМЗ" и ГП "БШЗ" на 2014-2017 годы, которая сформирована на основе стратегической номенклатуры продукции, определенной во исполнение НСУР, реализация которой позволит обеспечить поэтапное наращивание объемов производства, оптимизацию использования активов заводов, совершенствование управления производством. Будут продолжены работы по исполнению решений, включенных в Протокол 17-го заседания Межправительственной Кыргызско-Российской комиссии по торгово-экономическому, научно-техническому и гуманитарному сотрудничеству, диверсификации и подготовке производства новой конкурентоспособной рентабельной продукции;</w:t>
      </w:r>
    </w:p>
    <w:p>
      <w:pPr>
        <w:spacing w:after="60"/>
        <w:ind w:firstLine="567"/>
        <w:jc w:val="both"/>
      </w:pPr>
      <w:r>
        <w:rPr>
          <w:rFonts w:ascii="Arial" w:cs="Arial" w:eastAsia="Arial" w:hAnsi="Arial"/>
          <w:sz w:val="24"/>
          <w:szCs w:val="24"/>
        </w:rPr>
        <w:t xml:space="preserve">- производства резиновых и пластмассовых изделий, прочих неметаллических минеральных продуктов (рост на 2,7%), удельный вес в общем объеме промышленности которого составит 9,7%: (а) стабильная работа ОсОО "Интергласс", где объем производства листового стекла возрастет на 5% по сравнению с 2015 годом и достигнет 21 млн. кв.м; (б) рост производства цемента и асбестоцементных изделий прогнозируется за счет развития мощностей ЗАО "Южно-Кыргызский Цемент", ОсОО "Южный комбинат строительных материалов", ОАО "Кантский цементный завод", ОсОО "Ак-Сай Цемент", что позволит полностью покрыть потребность внутреннего рынка в цементе. Состояние и перспективы развития производства прочих неметаллических минеральных продуктов в большей степени определяются развитием строительного сектора и экспортными возможностями цементного и стекольного производства;</w:t>
      </w:r>
    </w:p>
    <w:p>
      <w:pPr>
        <w:spacing w:after="60"/>
        <w:ind w:firstLine="567"/>
        <w:jc w:val="both"/>
      </w:pPr>
      <w:r>
        <w:rPr>
          <w:rFonts w:ascii="Arial" w:cs="Arial" w:eastAsia="Arial" w:hAnsi="Arial"/>
          <w:sz w:val="24"/>
          <w:szCs w:val="24"/>
        </w:rPr>
        <w:t xml:space="preserve">- текстильного производства; производства одежды и обуви, кожи и прочих кожаных изделий (удельный вес в общем объеме промышленности - 3,3%), где прогнозируется реальный прирост на 4,9% за счет ожидаемого восстановления производства одежды после существенного спада в 2013-2015 годах. Вместе с тем достичь объемов производства 2011 года удастся, по прогнозным оценкам, только в 2019 году. Медленное восстановление производства в отрасли будет обусловлено разновекторным влиянием: с одной стороны девальвация рубля и относительное удорожание швейной продукции из Кыргызстана на российском рынке, и, с другой стороны, - более быстрые темпы роста цен в России на одежду из других стран (Европа, Америка). Прогноз умеренного роста обусловлен возможными рисками при экспорте товаров в условиях присоединения Кыргызской Республики к ЕАЭС;</w:t>
      </w:r>
    </w:p>
    <w:p>
      <w:pPr>
        <w:spacing w:after="60"/>
        <w:ind w:firstLine="567"/>
        <w:jc w:val="both"/>
      </w:pPr>
      <w:r>
        <w:rPr>
          <w:rFonts w:ascii="Arial" w:cs="Arial" w:eastAsia="Arial" w:hAnsi="Arial"/>
          <w:sz w:val="24"/>
          <w:szCs w:val="24"/>
        </w:rPr>
        <w:t xml:space="preserve">- реального роста производства продуктов (включая напитки) и табачных изделий (удельный вес - 14,6%), где прогнозируется прирост на 3,7% за счет устойчивого роста производства хлеба, муки, молочных продуктов и др. продуктов питания, спрос на которые стабильно высок;</w:t>
      </w:r>
    </w:p>
    <w:p>
      <w:pPr>
        <w:spacing w:after="60"/>
        <w:ind w:firstLine="567"/>
        <w:jc w:val="both"/>
      </w:pPr>
      <w:r>
        <w:rPr>
          <w:rFonts w:ascii="Arial" w:cs="Arial" w:eastAsia="Arial" w:hAnsi="Arial"/>
          <w:sz w:val="24"/>
          <w:szCs w:val="24"/>
        </w:rPr>
        <w:t xml:space="preserve">- увеличения производства кокса и очищенных нефтепродуктов на 37,3% за счет наращивания мощностей нефтеперерабатывающих заводов в городах Кара-Балта и Токмок.</w:t>
      </w:r>
    </w:p>
    <w:p>
      <w:pPr>
        <w:spacing w:after="60"/>
        <w:ind w:firstLine="567"/>
        <w:jc w:val="both"/>
      </w:pPr>
      <w:r>
        <w:rPr>
          <w:rFonts w:ascii="Arial" w:cs="Arial" w:eastAsia="Arial" w:hAnsi="Arial"/>
          <w:sz w:val="24"/>
          <w:szCs w:val="24"/>
        </w:rPr>
        <w:t xml:space="preserve">Кроме того, прогнозируется устойчивая работа предприятий по производству электрического оборудования (прирост на 1,6%), деревянных и бумажных изделий, фармацевтической продукции (на 4,0%), а также полиграфической деятельности (на 2,0%), химического производства (на 2,0%).</w:t>
      </w:r>
    </w:p>
    <w:p>
      <w:pPr>
        <w:spacing w:after="60"/>
        <w:ind w:firstLine="567"/>
        <w:jc w:val="both"/>
      </w:pPr>
      <w:r>
        <w:rPr>
          <w:rFonts w:ascii="Arial" w:cs="Arial" w:eastAsia="Arial" w:hAnsi="Arial"/>
          <w:sz w:val="24"/>
          <w:szCs w:val="24"/>
        </w:rPr>
        <w:t xml:space="preserve">(2) В добыче полезных ископаемых (удельный вес 5,8% в объеме промышленного производства) в 2016 году прирост объема производства прогнозируется на уровне 6,2%. Добыча каменного и бурого угля увеличится на 5,6%, сырой нефти и природного газа - на 2,4%, металлических руд - на 8,6%, прочих полезных ископаемых - на 3,2%.</w:t>
      </w:r>
    </w:p>
    <w:p>
      <w:pPr>
        <w:spacing w:after="60"/>
        <w:ind w:firstLine="567"/>
        <w:jc w:val="both"/>
      </w:pPr>
      <w:r>
        <w:rPr>
          <w:rFonts w:ascii="Arial" w:cs="Arial" w:eastAsia="Arial" w:hAnsi="Arial"/>
          <w:sz w:val="24"/>
          <w:szCs w:val="24"/>
        </w:rPr>
        <w:t xml:space="preserve">Прогнозируемый объем производства в данной отрасли ожидается за счет: осуществления запланированных технологических мер ГП "Кыргызкомур"; сохранения достигнутых объемов реализации кыргызских углей на внутреннем рынке при прохождении осенне-зимнего периода с наращиванием поставок кыргызских углей на ТЭЦ города Бишкек; осуществления запланированных мероприятий на ОАО "Кыргызнефтегаз" и привлечения инвесторов для ввода простаивающих эксплуатационных скважин, с разделом продукции; наращивания объемов добычи руды на месторождении Бозымчак.</w:t>
      </w:r>
    </w:p>
    <w:p>
      <w:pPr>
        <w:spacing w:after="60"/>
        <w:ind w:firstLine="567"/>
        <w:jc w:val="both"/>
      </w:pPr>
      <w:r>
        <w:rPr>
          <w:rFonts w:ascii="Arial" w:cs="Arial" w:eastAsia="Arial" w:hAnsi="Arial"/>
          <w:sz w:val="24"/>
          <w:szCs w:val="24"/>
        </w:rPr>
        <w:t xml:space="preserve">(3) В обеспечении (снабжении) электроэнергией, газом, паром и кондиционированным воздухом (удельный вес 16,0%) на 2016 год прогнозируется прирост объемов на 3,0%.</w:t>
      </w:r>
    </w:p>
    <w:p>
      <w:pPr>
        <w:spacing w:after="60"/>
        <w:ind w:firstLine="567"/>
        <w:jc w:val="both"/>
      </w:pPr>
      <w:r>
        <w:rPr>
          <w:rFonts w:ascii="Arial" w:cs="Arial" w:eastAsia="Arial" w:hAnsi="Arial"/>
          <w:sz w:val="24"/>
          <w:szCs w:val="24"/>
        </w:rPr>
        <w:t xml:space="preserve">Выработка электроэнергии прогнозируется на уровне 13587,7 млн. кВт.ч, которая рассчитана с учетом среднемноголетней приточности р.Нарын в створе Токтогульского гидроузла. При расчете прогнозных показателей предусмотрен рост внутреннего потребления электроэнергии и импорт электроэнергии в целях недопущения глубокой сработки Токтогульского водохранилища.</w:t>
      </w:r>
    </w:p>
    <w:p>
      <w:pPr>
        <w:spacing w:after="60"/>
        <w:ind w:firstLine="567"/>
        <w:jc w:val="both"/>
      </w:pPr>
      <w:r>
        <w:rPr>
          <w:rFonts w:ascii="Arial" w:cs="Arial" w:eastAsia="Arial" w:hAnsi="Arial"/>
          <w:sz w:val="24"/>
          <w:szCs w:val="24"/>
        </w:rPr>
        <w:t xml:space="preserve">В 2016 году запланировано:</w:t>
      </w:r>
    </w:p>
    <w:p>
      <w:pPr>
        <w:spacing w:after="60"/>
        <w:ind w:firstLine="567"/>
        <w:jc w:val="both"/>
      </w:pPr>
      <w:r>
        <w:rPr>
          <w:rFonts w:ascii="Arial" w:cs="Arial" w:eastAsia="Arial" w:hAnsi="Arial"/>
          <w:sz w:val="24"/>
          <w:szCs w:val="24"/>
        </w:rPr>
        <w:t xml:space="preserve">- завершение реконструкции ТЭЦ города Бишкек, результатом которой станет увеличение мощности на 300 МВт, с дополнительной выработкой 1950 млн. кВтч, и использование кыргызских углей, что позволит заменить износившееся оборудование, введенное 50 лет назад, для создания базовой, гарантированной электрической мощности, неподверженной водным режимам;</w:t>
      </w:r>
    </w:p>
    <w:p>
      <w:pPr>
        <w:spacing w:after="60"/>
        <w:ind w:firstLine="567"/>
        <w:jc w:val="both"/>
      </w:pPr>
      <w:r>
        <w:rPr>
          <w:rFonts w:ascii="Arial" w:cs="Arial" w:eastAsia="Arial" w:hAnsi="Arial"/>
          <w:sz w:val="24"/>
          <w:szCs w:val="24"/>
        </w:rPr>
        <w:t xml:space="preserve">- завершение строительства линии электропередачи 500 кВ "Датка-Кемин" и подстанции 500 кВ "Датка".</w:t>
      </w:r>
    </w:p>
    <w:p>
      <w:pPr>
        <w:spacing w:after="60"/>
        <w:ind w:firstLine="567"/>
        <w:jc w:val="both"/>
      </w:pPr>
      <w:r>
        <w:rPr>
          <w:rFonts w:ascii="Arial" w:cs="Arial" w:eastAsia="Arial" w:hAnsi="Arial"/>
          <w:sz w:val="24"/>
          <w:szCs w:val="24"/>
        </w:rPr>
        <w:t xml:space="preserve">Разработанная ОАО "Газпром" (РФ) Генеральная схема газоснабжения и газификации Кыргызской Республики до 2030 года предусматривает масштабную реконструкцию и модернизацию газотранспортных маршрутов Кыргызской Республики, а также объектов подземного хранения и распределения газа. В рамках Генеральной схемы будут созданы мощности для транспортировки газа на юг республики и автономной газификации отдельных районов страны. Инвестиционная программа дочерней компании "Газпром Кыргызстан" в 2015-2017 годы составит 35 млрд. рублей.</w:t>
      </w:r>
    </w:p>
    <w:p>
      <w:pPr>
        <w:spacing w:after="60"/>
        <w:ind w:firstLine="567"/>
        <w:jc w:val="both"/>
      </w:pPr>
      <w:r>
        <w:rPr>
          <w:rFonts w:ascii="Arial" w:cs="Arial" w:eastAsia="Arial" w:hAnsi="Arial"/>
          <w:sz w:val="24"/>
          <w:szCs w:val="24"/>
        </w:rPr>
        <w:t xml:space="preserve">Всего в 2016 году поступление природного газа в Кыргызскую Республику прогнозируется в объеме 600 млн. м</w:t>
      </w:r>
      <w:r>
        <w:rPr>
          <w:rFonts w:ascii="Arial" w:cs="Arial" w:eastAsia="Arial" w:hAnsi="Arial"/>
          <w:sz w:val="24"/>
          <w:szCs w:val="24"/>
        </w:rPr>
        <w:t xml:space="preserve">3</w:t>
      </w:r>
      <w:r>
        <w:rPr>
          <w:rFonts w:ascii="Arial" w:cs="Arial" w:eastAsia="Arial" w:hAnsi="Arial"/>
          <w:sz w:val="24"/>
          <w:szCs w:val="24"/>
        </w:rPr>
        <w:t xml:space="preserve">, что на 20% больше по сравнению с 2015 годом, которое позволит увеличить объем услуг распределения газообразного топлива через системы газоснабжения.</w:t>
      </w:r>
    </w:p>
    <w:p>
      <w:pPr>
        <w:spacing w:after="60"/>
        <w:ind w:firstLine="567"/>
        <w:jc w:val="both"/>
      </w:pPr>
      <w:r>
        <w:rPr>
          <w:rFonts w:ascii="Arial" w:cs="Arial" w:eastAsia="Arial" w:hAnsi="Arial"/>
          <w:sz w:val="24"/>
          <w:szCs w:val="24"/>
        </w:rPr>
        <w:t xml:space="preserve">(4) Водоснабжение, очистка, обработка отходов и получение вторичного сырья в структуре промышленности занимают незначительный удельный вес (0,9%), прогнозируется реальный рост на уровне 4,0% за счет сбора, обработки и распределения воды (водоснабжение) (рост на 3%), сбора, обработки и уничтожения отходов, получения вторичного сырья (на 5%) и проведения обеззараживания и прочей обработки отходов (на 7%).</w:t>
      </w:r>
    </w:p>
    <w:p>
      <w:pPr>
        <w:spacing w:after="60"/>
        <w:ind w:firstLine="567"/>
        <w:jc w:val="both"/>
      </w:pPr>
      <w:r>
        <w:rPr>
          <w:rFonts w:ascii="Arial" w:cs="Arial" w:eastAsia="Arial" w:hAnsi="Arial"/>
          <w:sz w:val="24"/>
          <w:szCs w:val="24"/>
        </w:rPr>
        <w:t xml:space="preserve">Рост физического объема промышленной продукции прогнозируется достичь во всех регионах республики. Основной вклад в объем промышленного производства традиционно внесут: Чуйская (44,7%), Иссык-Кульская (19,0%), Джалал-Абадская (8,1%) области и гор. Бишкек (19,5%), суммарная доля которых составит 91,3%. В Иссык-Кульской и Чуйской областях рост объемов производства промышленной продукции прогнозируется за счет активизации работы предприятий по разработке месторождения Кумтор и НПЗ "Джунда", в Джалал-Абадской области - ввода в эксплуатацию месторождения Бозымчак и восстановления объемов производства электроэнергии.</w:t>
      </w:r>
    </w:p>
    <w:p>
      <w:pPr>
        <w:spacing w:after="60"/>
        <w:ind w:firstLine="567"/>
        <w:jc w:val="both"/>
      </w:pPr>
      <w:r>
        <w:rPr>
          <w:rFonts w:ascii="Arial" w:cs="Arial" w:eastAsia="Arial" w:hAnsi="Arial"/>
          <w:sz w:val="24"/>
          <w:szCs w:val="24"/>
        </w:rPr>
        <w:t xml:space="preserve">Возможными рисками являются: инвестиционная непривлекательность предприятий промышленного сектора из-за непредсказуемости бизнес-среды (конфликты местного населения с инвесторами, отсталые технологии, низкий уровень рентабельности и т.д.); перебои в подаче электроэнергии; увеличение контрафактной швейной продукции китайского производства под брендом "Сделано в Кыргызстане"; несвоевременный ввод запланированных месторождений, сокращение производства на руднике Кумтор из-за техногенных факторов; необеспеченность сырьем введенных нефтеперерабатывающих предприятий; недостаток квалифицированных кадров технических специальностей; неэффективный менеджмент и недостаток оборотных средств; медленная адаптация к новым условиям при экспорте/импорте товаров в рамках присоединения Кыргызской Республики к ЕАЭС и т.д.</w:t>
      </w:r>
    </w:p>
    <w:p>
      <w:pPr>
        <w:spacing w:after="60" w:before="200"/>
        <w:ind w:firstLine="567"/>
        <w:jc w:val="left"/>
      </w:pPr>
      <w:r>
        <w:rPr>
          <w:rFonts w:ascii="Arial" w:cs="Arial" w:eastAsia="Arial" w:hAnsi="Arial"/>
          <w:b/>
          <w:bCs/>
          <w:sz w:val="24"/>
          <w:szCs w:val="24"/>
        </w:rPr>
        <w:t xml:space="preserve">9.3. Строительство</w:t>
      </w:r>
    </w:p>
    <w:p>
      <w:pPr>
        <w:spacing w:after="60"/>
        <w:ind w:firstLine="567"/>
        <w:jc w:val="both"/>
      </w:pPr>
      <w:r>
        <w:rPr>
          <w:rFonts w:ascii="Arial" w:cs="Arial" w:eastAsia="Arial" w:hAnsi="Arial"/>
          <w:sz w:val="24"/>
          <w:szCs w:val="24"/>
        </w:rPr>
        <w:t xml:space="preserve">В 2016 году развитие строительного сектора экономики станет одним из значимых направлений, обеспечивающих устойчивый рост национальной экономики за счет реализации крупных инвестиционных проектов, заложенных в Программе по переходу Кыргызской Республики к устойчивому развитию на 2013-2017 годы.</w:t>
      </w:r>
    </w:p>
    <w:p>
      <w:pPr>
        <w:spacing w:after="60"/>
        <w:ind w:firstLine="567"/>
        <w:jc w:val="both"/>
      </w:pPr>
      <w:r>
        <w:rPr>
          <w:rFonts w:ascii="Arial" w:cs="Arial" w:eastAsia="Arial" w:hAnsi="Arial"/>
          <w:sz w:val="24"/>
          <w:szCs w:val="24"/>
        </w:rPr>
        <w:t xml:space="preserve">В результате принятия комплексных мер развития, в строительном комплексе страны в 2016 году прогнозируется увеличение капитальных вложений на 11,2%, объемы составят 152,7 млрд. сомов.</w:t>
      </w:r>
    </w:p>
    <w:p>
      <w:pPr>
        <w:spacing w:after="120" w:before="120"/>
        <w:ind w:firstLine="567"/>
        <w:jc w:val="right"/>
      </w:pPr>
      <w:r>
        <w:rPr>
          <w:rFonts w:ascii="Arial" w:cs="Arial" w:eastAsia="Arial" w:hAnsi="Arial"/>
          <w:sz w:val="24"/>
          <w:szCs w:val="24"/>
        </w:rPr>
        <w:t xml:space="preserve">Таблица 13</w:t>
      </w:r>
    </w:p>
    <w:p>
      <w:pPr>
        <w:spacing w:after="200" w:before="200"/>
        <w:jc w:val="center"/>
      </w:pPr>
      <w:r>
        <w:rPr>
          <w:rFonts w:ascii="Arial" w:cs="Arial" w:eastAsia="Arial" w:hAnsi="Arial"/>
          <w:b/>
          <w:bCs/>
          <w:sz w:val="32"/>
          <w:szCs w:val="32"/>
        </w:rPr>
        <w:t xml:space="preserve">Динамика темпов роста в строительной отрасли на 2015-2016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43"/>
        <w:gridCol w:w="1359"/>
        <w:gridCol w:w="1359"/>
        <w:gridCol w:w="1359"/>
        <w:gridCol w:w="1359"/>
      </w:tblGrid>
      <w:tr>
        <w:tc>
          <w:tcPr>
            <w:tcW w:type="dxa" w:w="474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71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 ожид.</w:t>
            </w:r>
          </w:p>
        </w:tc>
        <w:tc>
          <w:tcPr>
            <w:tcW w:type="dxa" w:w="271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 прогноз</w:t>
            </w:r>
          </w:p>
        </w:tc>
      </w:tr>
      <w:tr>
        <w:tc>
          <w:tcPr>
            <w:vMerge w:val="continue"/>
            <w:tcBorders>
              <w:top w:val="single" w:color="CBBF9E" w:sz="4"/>
              <w:left w:val="single" w:color="CBBF9E" w:sz="4"/>
              <w:bottom w:val="single" w:color="CBBF9E" w:sz="4"/>
              <w:right w:val="single" w:color="CBBF9E" w:sz="4"/>
            </w:tcBorders>
          </w:tcP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126118,0</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113,4</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152657,8</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инвестиции</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71878,4</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83835,8</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инвестиции</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54239,6</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120,3</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68822,0</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116,5</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строительства</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113925,7</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139109,7</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112,1</w:t>
            </w:r>
          </w:p>
        </w:tc>
      </w:tr>
    </w:tbl>
    <w:p>
      <w:pPr>
        <w:spacing w:after="60" w:before="120"/>
        <w:ind w:firstLine="567"/>
        <w:jc w:val="both"/>
      </w:pPr>
      <w:r>
        <w:rPr>
          <w:rFonts w:ascii="Arial" w:cs="Arial" w:eastAsia="Arial" w:hAnsi="Arial"/>
          <w:sz w:val="24"/>
          <w:szCs w:val="24"/>
        </w:rPr>
        <w:t xml:space="preserve">Структура капитальных вложений относительно ожидаемых в 2015 году изменится в сторону сокращения доли внутренних инвестиций, с 57,0% до 54,9% и, соответственно, увеличения доли внешних инвестиций, с 43,0% до 45,1%.</w:t>
      </w:r>
    </w:p>
    <w:p>
      <w:pPr>
        <w:spacing w:after="60"/>
        <w:ind w:firstLine="567"/>
        <w:jc w:val="both"/>
      </w:pPr>
      <w:r>
        <w:rPr>
          <w:rFonts w:ascii="Arial" w:cs="Arial" w:eastAsia="Arial" w:hAnsi="Arial"/>
          <w:sz w:val="24"/>
          <w:szCs w:val="24"/>
        </w:rPr>
        <w:t xml:space="preserve">Основную долю в структуре внутренних инвестиций занимают средства предприятий, организаций и населения, составляя 90,2%.</w:t>
      </w:r>
    </w:p>
    <w:p>
      <w:pPr>
        <w:spacing w:after="60"/>
        <w:ind w:firstLine="567"/>
        <w:jc w:val="both"/>
      </w:pPr>
      <w:r>
        <w:rPr>
          <w:rFonts w:ascii="Arial" w:cs="Arial" w:eastAsia="Arial" w:hAnsi="Arial"/>
          <w:sz w:val="24"/>
          <w:szCs w:val="24"/>
        </w:rPr>
        <w:t xml:space="preserve">Приоритетными направлениями в строительстве в 2016 году будут: объекты строительства индивидуального жилья; объекты транспортной магистрали; объекты энергетики (работы по строительству линий электропередачи, связывающих территорию страны в единое энергетическое кольцо), объекты сельского хозяйства (ирригационные сооружения) и т.д.</w:t>
      </w:r>
    </w:p>
    <w:p>
      <w:pPr>
        <w:spacing w:after="60"/>
        <w:ind w:firstLine="567"/>
        <w:jc w:val="both"/>
      </w:pPr>
      <w:r>
        <w:rPr>
          <w:rFonts w:ascii="Arial" w:cs="Arial" w:eastAsia="Arial" w:hAnsi="Arial"/>
          <w:sz w:val="24"/>
          <w:szCs w:val="24"/>
        </w:rPr>
        <w:t xml:space="preserve">Капитальные вложения за счет государственного бюджета в сумме 3500 млн. сомов будут направлены в приоритетном порядке на строительство и реконструкцию объектов социально-экономического значения, в том числе в сфере образования, здравоохранения, культуры и спорта, жилищного строительства.</w:t>
      </w:r>
    </w:p>
    <w:p>
      <w:pPr>
        <w:spacing w:after="60"/>
        <w:ind w:firstLine="567"/>
        <w:jc w:val="both"/>
      </w:pPr>
      <w:r>
        <w:rPr>
          <w:rFonts w:ascii="Arial" w:cs="Arial" w:eastAsia="Arial" w:hAnsi="Arial"/>
          <w:sz w:val="24"/>
          <w:szCs w:val="24"/>
        </w:rPr>
        <w:t xml:space="preserve">Объемы капитальных вложений за счет средств предприятий и организаций в сумме 49 млрд. сомов прогнозируются ЗАО "Кумтор Голд компани" (237,1 млн. долл. США), компании "Газпром Кыргызстан" (15 млрд. сомов) и др.</w:t>
      </w:r>
    </w:p>
    <w:p>
      <w:pPr>
        <w:spacing w:after="60"/>
        <w:ind w:firstLine="567"/>
        <w:jc w:val="both"/>
      </w:pPr>
      <w:r>
        <w:rPr>
          <w:rFonts w:ascii="Arial" w:cs="Arial" w:eastAsia="Arial" w:hAnsi="Arial"/>
          <w:sz w:val="24"/>
          <w:szCs w:val="24"/>
        </w:rPr>
        <w:t xml:space="preserve">В 2016 году будут реализованы крупные инвестиционные проекты в транспортной и энергетической отрасли, которые внесут основной вклад в развитие строительства.</w:t>
      </w:r>
    </w:p>
    <w:p>
      <w:pPr>
        <w:spacing w:after="60"/>
        <w:ind w:firstLine="567"/>
        <w:jc w:val="both"/>
      </w:pPr>
      <w:r>
        <w:rPr>
          <w:rFonts w:ascii="Arial" w:cs="Arial" w:eastAsia="Arial" w:hAnsi="Arial"/>
          <w:sz w:val="24"/>
          <w:szCs w:val="24"/>
        </w:rPr>
        <w:t xml:space="preserve">Наибольшие объемы финансирования предусмотрены в секторе транспорта - всего 21785,3 млн. сомов, которые ожидаются за счет: проектов, финансируемых Китайской Народной Республикой, "Строительство альтернативной дороги "Север-Юг" (5183,9 млн. сомов), "Строительство альтернативной дороги "Север-Юг" вторая фаза (6761,1 млн. сомов), "Реабилитация двух участков автодороги в Кыргызской Республике" (841,3 млн. сомов); проектов АБР "Третий проект "Транспортный коридор-1 ЦАРЭС (Дорога Бишкек-Нарын-Торугарт" (703,8 млн. сомов), "Улучшение коридора ЦАРЭС 3" (автодорога Бишкек-Ош, участок Бишкек-Кара-Балта), Фаза 4 (701,1 млн. сомов), проекта "Улучшение автодороги Бишкек-Ош", Фаза 4, участок Маданият-Джалал-Абад (АКФ ЕАБР) (3622,0 млн. сомов), проекта "Улучшение дорожных путей сообщения в ЦА" (ВБ) (676,8 млн. сомов), проекта "Пути соединения между транспортными коридорами ЦАРЭС 1 и 3" (АБР) (1004,5 млн. сомов), проекта "Улучшение основных международных дорог" (JICA) (74,2 млн. сомов)", проекта "Бишкек-Нарын-Торугарт", финансируемого Арабской координационной группой (1115,3 млн. сомов); проекта ИБР "Реабилитация автомобильной дороги "Ош-Баткен-Исфана" (473,4 млн. сомов), проекта, финансируемого ИБР и СФР, "Реконструкция автодороги "Тараз-Талас-Суусамыр-3" (512,1 млн. сомов) и др.</w:t>
      </w:r>
    </w:p>
    <w:p>
      <w:pPr>
        <w:spacing w:after="60"/>
        <w:ind w:firstLine="567"/>
        <w:jc w:val="both"/>
      </w:pPr>
      <w:r>
        <w:rPr>
          <w:rFonts w:ascii="Arial" w:cs="Arial" w:eastAsia="Arial" w:hAnsi="Arial"/>
          <w:sz w:val="24"/>
          <w:szCs w:val="24"/>
        </w:rPr>
        <w:t xml:space="preserve">В энергетической отрасли объемы финансирования предусмотрены в сумме 14876,3 млн. сомов, которые ожидаются за счет: проектов Китайской Народной Республики "Строительство линии электропередачи 500 кВ "Датка-Кемин" и подстанции 500 кВ "Датка" (1335,1 млн. сомов), "Реконструкция ТЭЦ города Бишкек" (6610,3 млн. сомов), реализация проекта Немецкого банка развития (KfW) "Повышение эффективности электрораспределительных сетей" (56,9 млн. сомов), проектов Азиатского банка развития "Развитие сектора энергетики" (680,9 млн. сомов), "Реабилитация сектора энергетики" (397,7 млн. сомов) и планируемой второй фазы проекта "Реабилитация сектора энергетики" (2 фаза - 68,8 млн. сомов), планируемых проектов Всемирного банка, "Проект CASA-1000" (1233,0 млн. сомов), проекта "Повышение подотчетности и надежности электроснабжения" (633,6 млн. сомов); проектов Исламского банка развития "Улучшение электроснабжения города Бишкек и города Ош" (529,6 млн. сомов), "Улучшение электроснабжения Аркинского массива Лейлекского района" (385,3 млн. сомов), "Проект CASA-1000" (822,0 млн. сомов), проекта, финансируемого Швейцарской Конфедерацией, "Реабилитация Атбашинской ГЭС" (412,8 млн. сомов) и др.</w:t>
      </w:r>
    </w:p>
    <w:p>
      <w:pPr>
        <w:spacing w:after="60"/>
        <w:ind w:firstLine="567"/>
        <w:jc w:val="both"/>
      </w:pPr>
      <w:r>
        <w:rPr>
          <w:rFonts w:ascii="Arial" w:cs="Arial" w:eastAsia="Arial" w:hAnsi="Arial"/>
          <w:sz w:val="24"/>
          <w:szCs w:val="24"/>
        </w:rPr>
        <w:t xml:space="preserve">Объемы прямых иностранных инвестиций в сумме 12,6 млрд. сомов прогнозируются за счет капитальных вложений ОАО "РусГидро" (строительство Верхне-Нарынского каскада ГЭС (4 ГЭС - Акбулунская, Нарын - 1, 2, 3) в сумме около 7,5 млрд. сомов, южнокорейской компании "POSCO" (строительство ферросплавного завода в гор. Таш-Кумыр) в сумме около 2 млрд. сомов и др.</w:t>
      </w:r>
    </w:p>
    <w:p>
      <w:pPr>
        <w:spacing w:after="60"/>
        <w:ind w:firstLine="567"/>
        <w:jc w:val="both"/>
      </w:pPr>
      <w:r>
        <w:rPr>
          <w:rFonts w:ascii="Arial" w:cs="Arial" w:eastAsia="Arial" w:hAnsi="Arial"/>
          <w:sz w:val="24"/>
          <w:szCs w:val="24"/>
        </w:rPr>
        <w:t xml:space="preserve">Исходя из планируемых объемов капитализации экономики, реальный рост общего объема валовой продукции строительства в 2016 году прогнозируется на 12,1% и составит 139,1 млрд. сомов. Влияние строительного сектора на темпы экономического роста будет положительным и составит 0,96 процентного пункта, удельный вес строительства в структуре производства ВВП - 8,4%.</w:t>
      </w:r>
    </w:p>
    <w:p>
      <w:pPr>
        <w:spacing w:after="60"/>
        <w:ind w:firstLine="567"/>
        <w:jc w:val="both"/>
      </w:pPr>
      <w:r>
        <w:rPr>
          <w:rFonts w:ascii="Arial" w:cs="Arial" w:eastAsia="Arial" w:hAnsi="Arial"/>
          <w:sz w:val="24"/>
          <w:szCs w:val="24"/>
        </w:rPr>
        <w:t xml:space="preserve">В региональном разрезе рост объемов строительства ожидается во всех регионах, за счет реализации инвестиционных проектов в транспортной, горнодобывающей и энергетической отраслях. Основную долю будут занимать город Бишкек (38,0%), Чуйская (18,5%), Иссык-Кульская (15,8%) и Джалал-Абадская (10,9%) области, суммарный вклад которых в развитие строительной отрасли составит 10,8 процентных пункта.</w:t>
      </w:r>
    </w:p>
    <w:p>
      <w:pPr>
        <w:spacing w:after="60"/>
        <w:ind w:firstLine="567"/>
        <w:jc w:val="both"/>
      </w:pPr>
      <w:r>
        <w:rPr>
          <w:rFonts w:ascii="Arial" w:cs="Arial" w:eastAsia="Arial" w:hAnsi="Arial"/>
          <w:sz w:val="24"/>
          <w:szCs w:val="24"/>
        </w:rPr>
        <w:t xml:space="preserve">При этом следует принять во внимание следующие факторы, которые влияют на развитие строительного сектора экономики.</w:t>
      </w:r>
    </w:p>
    <w:p>
      <w:pPr>
        <w:spacing w:after="60"/>
        <w:ind w:firstLine="567"/>
        <w:jc w:val="both"/>
      </w:pPr>
      <w:r>
        <w:rPr>
          <w:rFonts w:ascii="Arial" w:cs="Arial" w:eastAsia="Arial" w:hAnsi="Arial"/>
          <w:sz w:val="24"/>
          <w:szCs w:val="24"/>
        </w:rPr>
        <w:t xml:space="preserve">Так, в условиях геоэкономической напряженности в регионе (введение экономических санкций против Российской Федерации, снижение чистого притока денежных переводов физических лиц в Кыргызскую Республику) могут возникнуть определенные риски и угрозы.</w:t>
      </w:r>
    </w:p>
    <w:p>
      <w:pPr>
        <w:spacing w:after="60"/>
        <w:ind w:firstLine="567"/>
        <w:jc w:val="both"/>
      </w:pPr>
      <w:r>
        <w:rPr>
          <w:rFonts w:ascii="Arial" w:cs="Arial" w:eastAsia="Arial" w:hAnsi="Arial"/>
          <w:sz w:val="24"/>
          <w:szCs w:val="24"/>
        </w:rPr>
        <w:t xml:space="preserve">Российские проекты в Кыргызской Республике реализовываются крупными российскими государственными компаниями, такими как ОАО "РусГидро" и "Газпром". Из-за экономических санкций, введенных против России, могут сократиться источники доходов данных компаний, вклады в новые технологии. Соответственно, это напрямую может сказаться на тех средствах, которые они собираются вкладывать в Кыргызскую Республику.</w:t>
      </w:r>
    </w:p>
    <w:p>
      <w:pPr>
        <w:spacing w:after="60"/>
        <w:ind w:firstLine="567"/>
        <w:jc w:val="both"/>
      </w:pPr>
      <w:r>
        <w:rPr>
          <w:rFonts w:ascii="Arial" w:cs="Arial" w:eastAsia="Arial" w:hAnsi="Arial"/>
          <w:sz w:val="24"/>
          <w:szCs w:val="24"/>
        </w:rPr>
        <w:t xml:space="preserve">Также, следует учесть, что основная часть притока денежных переводов приходит из Российской Федерации (более 90%). В случае снижения притока этих средств может произойти снижение объемов жилищного строительства, осуществляемого за счет средств населения.</w:t>
      </w:r>
    </w:p>
    <w:p>
      <w:pPr>
        <w:spacing w:after="60"/>
        <w:ind w:firstLine="567"/>
        <w:jc w:val="both"/>
      </w:pPr>
      <w:r>
        <w:rPr>
          <w:rFonts w:ascii="Arial" w:cs="Arial" w:eastAsia="Arial" w:hAnsi="Arial"/>
          <w:sz w:val="24"/>
          <w:szCs w:val="24"/>
        </w:rPr>
        <w:t xml:space="preserve">Необходимо также учитывать, что многие строительные материалы завозятся в Кыргызстан из Китайской Народной Республики и Турецкой Республики. Присоединение Кыргызской Республики к ЕАЭС может вызвать значительный рост цен на строительные материалы, вследствие чего, возможно, повысятся цены на недвижимость.</w:t>
      </w:r>
    </w:p>
    <w:p>
      <w:pPr>
        <w:spacing w:after="60"/>
        <w:ind w:firstLine="567"/>
        <w:jc w:val="both"/>
      </w:pPr>
      <w:r>
        <w:rPr>
          <w:rFonts w:ascii="Arial" w:cs="Arial" w:eastAsia="Arial" w:hAnsi="Arial"/>
          <w:sz w:val="24"/>
          <w:szCs w:val="24"/>
        </w:rPr>
        <w:t xml:space="preserve">Вышеизложенные предпосылки вкупе могут привести к:</w:t>
      </w:r>
    </w:p>
    <w:p>
      <w:pPr>
        <w:spacing w:after="60"/>
        <w:ind w:firstLine="567"/>
        <w:jc w:val="both"/>
      </w:pPr>
      <w:r>
        <w:rPr>
          <w:rFonts w:ascii="Arial" w:cs="Arial" w:eastAsia="Arial" w:hAnsi="Arial"/>
          <w:sz w:val="24"/>
          <w:szCs w:val="24"/>
        </w:rPr>
        <w:t xml:space="preserve">- снижению объемов производства;</w:t>
      </w:r>
    </w:p>
    <w:p>
      <w:pPr>
        <w:spacing w:after="60"/>
        <w:ind w:firstLine="567"/>
        <w:jc w:val="both"/>
      </w:pPr>
      <w:r>
        <w:rPr>
          <w:rFonts w:ascii="Arial" w:cs="Arial" w:eastAsia="Arial" w:hAnsi="Arial"/>
          <w:sz w:val="24"/>
          <w:szCs w:val="24"/>
        </w:rPr>
        <w:t xml:space="preserve">- снижению инвестиций в основной капитал;</w:t>
      </w:r>
    </w:p>
    <w:p>
      <w:pPr>
        <w:spacing w:after="60"/>
        <w:ind w:firstLine="567"/>
        <w:jc w:val="both"/>
      </w:pPr>
      <w:r>
        <w:rPr>
          <w:rFonts w:ascii="Arial" w:cs="Arial" w:eastAsia="Arial" w:hAnsi="Arial"/>
          <w:sz w:val="24"/>
          <w:szCs w:val="24"/>
        </w:rPr>
        <w:t xml:space="preserve">- приостановке строительства объектов;</w:t>
      </w:r>
    </w:p>
    <w:p>
      <w:pPr>
        <w:spacing w:after="60"/>
        <w:ind w:firstLine="567"/>
        <w:jc w:val="both"/>
      </w:pPr>
      <w:r>
        <w:rPr>
          <w:rFonts w:ascii="Arial" w:cs="Arial" w:eastAsia="Arial" w:hAnsi="Arial"/>
          <w:sz w:val="24"/>
          <w:szCs w:val="24"/>
        </w:rPr>
        <w:t xml:space="preserve">- несвоевременному вводу в эксплуатацию жилья и т.д.</w:t>
      </w:r>
    </w:p>
    <w:p>
      <w:pPr>
        <w:spacing w:after="60" w:before="200"/>
        <w:ind w:firstLine="567"/>
        <w:jc w:val="left"/>
      </w:pPr>
      <w:r>
        <w:rPr>
          <w:rFonts w:ascii="Arial" w:cs="Arial" w:eastAsia="Arial" w:hAnsi="Arial"/>
          <w:b/>
          <w:bCs/>
          <w:sz w:val="24"/>
          <w:szCs w:val="24"/>
        </w:rPr>
        <w:t xml:space="preserve">9.4. Сфера услуг</w:t>
      </w:r>
    </w:p>
    <w:p>
      <w:pPr>
        <w:spacing w:after="60"/>
        <w:ind w:firstLine="567"/>
        <w:jc w:val="both"/>
      </w:pPr>
      <w:r>
        <w:rPr>
          <w:rFonts w:ascii="Arial" w:cs="Arial" w:eastAsia="Arial" w:hAnsi="Arial"/>
          <w:sz w:val="24"/>
          <w:szCs w:val="24"/>
        </w:rPr>
        <w:t xml:space="preserve">На развитие сферы услуг особое слияние окажет присоединение Кыргызской Республики к ЕАЭС, пик влияния которого придется на 2016 год. В связи с этим в 2016 году прогнозируемый рост сферы услуг составит 103,9%, а в структуре ВВП ее доля составит до 48,9%. Несмотря на замедление темпов роста отраслей экономики, оказывающих услуги, их вклад в ВВП будет традиционно большим и составит 1,73 процентного пункта. Валовой выпуск сферы услуг прогнозируется в объеме 424,5 млрд. сомов, из них рыночные виды услуг составят 79,6% с темпом роста 104,9%, а нерыночные - 100,6%.</w:t>
      </w:r>
    </w:p>
    <w:p>
      <w:pPr>
        <w:spacing w:after="60" w:before="120"/>
        <w:ind w:firstLine="567"/>
        <w:jc w:val="right"/>
      </w:pPr>
      <w:r>
        <w:rPr>
          <w:rFonts w:ascii="Arial" w:cs="Arial" w:eastAsia="Arial" w:hAnsi="Arial"/>
          <w:sz w:val="24"/>
          <w:szCs w:val="24"/>
        </w:rPr>
        <w:t xml:space="preserve">Таблица 14</w:t>
      </w:r>
    </w:p>
    <w:p>
      <w:pPr>
        <w:spacing w:after="200" w:before="200"/>
        <w:jc w:val="center"/>
      </w:pPr>
      <w:r>
        <w:rPr>
          <w:rFonts w:ascii="Arial" w:cs="Arial" w:eastAsia="Arial" w:hAnsi="Arial"/>
          <w:b/>
          <w:bCs/>
          <w:sz w:val="32"/>
          <w:szCs w:val="32"/>
        </w:rPr>
        <w:t xml:space="preserve">Динамика темпов роста в отраслях сферы услуг на 2015-2016 гг.,
 в процентах к предыдущему году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61"/>
        <w:gridCol w:w="1095"/>
        <w:gridCol w:w="1122"/>
      </w:tblGrid>
      <w:tr>
        <w:tc>
          <w:tcPr>
            <w:tcW w:type="dxa" w:w="796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0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11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r>
      <w:tr>
        <w:tc>
          <w:tcPr>
            <w:vMerge w:val="continue"/>
            <w:tcBorders>
              <w:top w:val="single" w:color="CBBF9E" w:sz="4"/>
              <w:left w:val="single" w:color="CBBF9E" w:sz="4"/>
              <w:bottom w:val="single" w:color="CBBF9E" w:sz="4"/>
              <w:right w:val="single" w:color="CBBF9E" w:sz="4"/>
            </w:tcBorders>
          </w:tcP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79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79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по отраслям:</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9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Оптовая и розничная торговля; ремонт автомобилей и мотоциклов</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r>
      <w:tr>
        <w:tc>
          <w:tcPr>
            <w:tcW w:type="dxa" w:w="79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Транспортная деятельность и хранение грузов</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r>
      <w:tr>
        <w:tc>
          <w:tcPr>
            <w:tcW w:type="dxa" w:w="79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r>
      <w:tr>
        <w:tc>
          <w:tcPr>
            <w:tcW w:type="dxa" w:w="79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Информация и связь</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79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Финансовое посредничество и страхование</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79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с недвижимым имуществом</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r>
      <w:tr>
        <w:tc>
          <w:tcPr>
            <w:tcW w:type="dxa" w:w="79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Профессиональная, научная и техническая деятельность</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99,9</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r>
        <w:tc>
          <w:tcPr>
            <w:tcW w:type="dxa" w:w="79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Административная и вспомогательная деятельность</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79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управление и оборона, обязательное социальное обеспечение</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w:t>
            </w:r>
          </w:p>
        </w:tc>
      </w:tr>
      <w:tr>
        <w:tc>
          <w:tcPr>
            <w:tcW w:type="dxa" w:w="79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79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 и социальное обслуживание населения</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79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Искусство, развлечения и отдых</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79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обслуживающая деятельность</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bl>
    <w:p>
      <w:pPr>
        <w:spacing w:after="60" w:before="120"/>
        <w:ind w:firstLine="567"/>
        <w:jc w:val="both"/>
      </w:pPr>
      <w:r>
        <w:rPr>
          <w:rFonts w:ascii="Arial" w:cs="Arial" w:eastAsia="Arial" w:hAnsi="Arial"/>
          <w:sz w:val="24"/>
          <w:szCs w:val="24"/>
        </w:rPr>
        <w:t xml:space="preserve">В структуре сферы услуг традиционно основную долю будет занимать торговля, которая в наибольшей степени будет испытывать влияние процесса интеграции экономики страны в экономику ЕАЭС. Изменение условий ввоза импортной продукции из стран, не входящих в ЕАЭС, приведет к увеличению себестоимости продукции, что негативно скажется на реальных объемах оптовой и розничной торговли. При этом, отмена таможенных границ между государствами - членами ЕАЭС позволит облегчить прохождение товаров с рынков республики в соседние страны, наличие торгово-экономических и логистических связей между Кыргызской Республикой и странами, не входящими в ЕАЭС, позволит удержать ориентацию потоков товаров из третьих стран в ЕАЭС. В результате разнонаправленного воздействия выгод и рисков от присоединения Кыргызской Республики к ЕАЭС в 2016 году прогнозируемый рост оптовой и розничной торговли, ремонт автомобилей и мотоциклов составит 107,0%.</w:t>
      </w:r>
    </w:p>
    <w:p>
      <w:pPr>
        <w:spacing w:after="60"/>
        <w:ind w:firstLine="567"/>
        <w:jc w:val="both"/>
      </w:pPr>
      <w:r>
        <w:rPr>
          <w:rFonts w:ascii="Arial" w:cs="Arial" w:eastAsia="Arial" w:hAnsi="Arial"/>
          <w:sz w:val="24"/>
          <w:szCs w:val="24"/>
        </w:rPr>
        <w:t xml:space="preserve">Валовой выпуск услуг транспортной деятельности и хранения грузов в 2016 году составит 56,5 млрд. сомов, а темп реального роста прогнозируется на уровне 105,7%. Данный рост будет обеспечен стабильным ростом как грузовых, так и пассажирских перевозок. Особые усилия будут направлены на улучшение условий для отечественных грузоперевозчиков в оказании международных автотранспортных услуг, рост которых в 2016 году прогнозируется на уровне 10%. Учитывая, что основным видом транспорта, используемым в республике, является автомобильный транспорт (дорожная сеть обеспечивает до 95% всех внутренних пассажирских и грузовых автомобильных перевозок), основными приоритетами будут: (а) удовлетворение потребностей населения в пассажирских и грузовых транспортных перевозках; (б) обновление и пополнение парка автотранспортных средств; (в) реабилитация и поддержание дорожной сети.</w:t>
      </w:r>
    </w:p>
    <w:p>
      <w:pPr>
        <w:spacing w:after="60"/>
        <w:ind w:firstLine="567"/>
        <w:jc w:val="both"/>
      </w:pPr>
      <w:r>
        <w:rPr>
          <w:rFonts w:ascii="Arial" w:cs="Arial" w:eastAsia="Arial" w:hAnsi="Arial"/>
          <w:sz w:val="24"/>
          <w:szCs w:val="24"/>
        </w:rPr>
        <w:t xml:space="preserve">Основные направления деятельности в области воздушного транспорта будут направлены на: реконструкцию и модернизацию аэропортов для внутреннего сообщения, модернизацию международного аэропорта "Ош", а также расширение зоны охвата международных авиаперелетов.</w:t>
      </w:r>
    </w:p>
    <w:p>
      <w:pPr>
        <w:spacing w:after="60"/>
        <w:ind w:firstLine="567"/>
        <w:jc w:val="both"/>
      </w:pPr>
      <w:r>
        <w:rPr>
          <w:rFonts w:ascii="Arial" w:cs="Arial" w:eastAsia="Arial" w:hAnsi="Arial"/>
          <w:sz w:val="24"/>
          <w:szCs w:val="24"/>
        </w:rPr>
        <w:t xml:space="preserve">Внедрение механизмов государственно-частного партнерства станет базовой основой политики в сфере развития транспортных услуг.</w:t>
      </w:r>
    </w:p>
    <w:p>
      <w:pPr>
        <w:spacing w:after="60"/>
        <w:ind w:firstLine="567"/>
        <w:jc w:val="both"/>
      </w:pPr>
      <w:r>
        <w:rPr>
          <w:rFonts w:ascii="Arial" w:cs="Arial" w:eastAsia="Arial" w:hAnsi="Arial"/>
          <w:sz w:val="24"/>
          <w:szCs w:val="24"/>
        </w:rPr>
        <w:t xml:space="preserve">Валовой выпуск услуг связи и информации составит 32,5 млрд. сомов, в том числе валовый выпуск услуг связи - 26,95 млрд. сомов, темп реального роста - 101,0%. Основные перспективы развития будут направлены на улучшение качества и увеличение объема предоставляемых услуг, внедрение новых видов услуг и альтернатив, обеспечивающих пользователей возможностью выбора приемлемых для них условий.</w:t>
      </w:r>
    </w:p>
    <w:p>
      <w:pPr>
        <w:spacing w:after="60"/>
        <w:ind w:firstLine="567"/>
        <w:jc w:val="both"/>
      </w:pPr>
      <w:r>
        <w:rPr>
          <w:rFonts w:ascii="Arial" w:cs="Arial" w:eastAsia="Arial" w:hAnsi="Arial"/>
          <w:sz w:val="24"/>
          <w:szCs w:val="24"/>
        </w:rPr>
        <w:t xml:space="preserve">Развитие туризма будет нацелено на формирование конкурентоспособной туристской индустрии. С учетом тенденций развития мирового туристского рынка меры будут направлены на развитие четырех основных видов туризма в Кыргызстане, способных дать высокую экономическую отдачу в 2016 году, - курортно-рекреационный туризм, ориентированный на Казахстан, Россию (Сибирь и Урал), Узбекистан; туризм по маршрутам Великого Шелкового пути, ориентированный на страны ЕС, Японию, Южную Корею и другие; горно-приключенческий туризм, включая экологический туризм, ориентированный на страны ЕС, Казахстан, Россию и другие; деловой туризм за счет использования выгодного географического расположения Кыргызстана. Рост экспорта туристских услуг прогнозируется на уровне 441 млн. долл. США, а удельный вес добавленной стоимости в сфере туристской деятельности в ВВП возрастет до 4%.</w:t>
      </w:r>
    </w:p>
    <w:p>
      <w:pPr>
        <w:spacing w:after="60"/>
        <w:ind w:firstLine="567"/>
        <w:jc w:val="both"/>
      </w:pPr>
      <w:r>
        <w:rPr>
          <w:rFonts w:ascii="Arial" w:cs="Arial" w:eastAsia="Arial" w:hAnsi="Arial"/>
          <w:sz w:val="24"/>
          <w:szCs w:val="24"/>
        </w:rPr>
        <w:t xml:space="preserve">Политика в области развития туризма будет направлена на решение таких задач, как:</w:t>
      </w:r>
    </w:p>
    <w:p>
      <w:pPr>
        <w:spacing w:after="60"/>
        <w:ind w:firstLine="567"/>
        <w:jc w:val="both"/>
      </w:pPr>
      <w:r>
        <w:rPr>
          <w:rFonts w:ascii="Arial" w:cs="Arial" w:eastAsia="Arial" w:hAnsi="Arial"/>
          <w:sz w:val="24"/>
          <w:szCs w:val="24"/>
        </w:rPr>
        <w:t xml:space="preserve">- упорядочение туристских формальностей и повышение безопасности путешествий;</w:t>
      </w:r>
    </w:p>
    <w:p>
      <w:pPr>
        <w:spacing w:after="60"/>
        <w:ind w:firstLine="567"/>
        <w:jc w:val="both"/>
      </w:pPr>
      <w:r>
        <w:rPr>
          <w:rFonts w:ascii="Arial" w:cs="Arial" w:eastAsia="Arial" w:hAnsi="Arial"/>
          <w:sz w:val="24"/>
          <w:szCs w:val="24"/>
        </w:rPr>
        <w:t xml:space="preserve">- развитие туристской инфраструктуры, в том числе транспорта и коммуникаций;</w:t>
      </w:r>
    </w:p>
    <w:p>
      <w:pPr>
        <w:spacing w:after="60"/>
        <w:ind w:firstLine="567"/>
        <w:jc w:val="both"/>
      </w:pPr>
      <w:r>
        <w:rPr>
          <w:rFonts w:ascii="Arial" w:cs="Arial" w:eastAsia="Arial" w:hAnsi="Arial"/>
          <w:sz w:val="24"/>
          <w:szCs w:val="24"/>
        </w:rPr>
        <w:t xml:space="preserve">- создание условий для обучения персонала туристских предприятий;</w:t>
      </w:r>
    </w:p>
    <w:p>
      <w:pPr>
        <w:spacing w:after="60"/>
        <w:ind w:firstLine="567"/>
        <w:jc w:val="both"/>
      </w:pPr>
      <w:r>
        <w:rPr>
          <w:rFonts w:ascii="Arial" w:cs="Arial" w:eastAsia="Arial" w:hAnsi="Arial"/>
          <w:sz w:val="24"/>
          <w:szCs w:val="24"/>
        </w:rPr>
        <w:t xml:space="preserve">- обеспечение соблюдения экологических норм на туристских объектах и в регионах посещения;</w:t>
      </w:r>
    </w:p>
    <w:p>
      <w:pPr>
        <w:spacing w:after="60"/>
        <w:ind w:firstLine="567"/>
        <w:jc w:val="both"/>
      </w:pPr>
      <w:r>
        <w:rPr>
          <w:rFonts w:ascii="Arial" w:cs="Arial" w:eastAsia="Arial" w:hAnsi="Arial"/>
          <w:sz w:val="24"/>
          <w:szCs w:val="24"/>
        </w:rPr>
        <w:t xml:space="preserve">- продвижение национального туристского продукта на иностранных рынках путем формирования благоприятного для туризма образа страны;</w:t>
      </w:r>
    </w:p>
    <w:p>
      <w:pPr>
        <w:spacing w:after="60"/>
        <w:ind w:firstLine="567"/>
        <w:jc w:val="both"/>
      </w:pPr>
      <w:r>
        <w:rPr>
          <w:rFonts w:ascii="Arial" w:cs="Arial" w:eastAsia="Arial" w:hAnsi="Arial"/>
          <w:sz w:val="24"/>
          <w:szCs w:val="24"/>
        </w:rPr>
        <w:t xml:space="preserve">- разработка и внедрение экономических и административных механизмов поддержки развития туризма;</w:t>
      </w:r>
    </w:p>
    <w:p>
      <w:pPr>
        <w:spacing w:after="60"/>
        <w:ind w:firstLine="567"/>
        <w:jc w:val="both"/>
      </w:pPr>
      <w:r>
        <w:rPr>
          <w:rFonts w:ascii="Arial" w:cs="Arial" w:eastAsia="Arial" w:hAnsi="Arial"/>
          <w:sz w:val="24"/>
          <w:szCs w:val="24"/>
        </w:rPr>
        <w:t xml:space="preserve">- усиление мер по сохранению окружающей среды, культурного и исторического наследия.</w:t>
      </w:r>
    </w:p>
    <w:p>
      <w:pPr>
        <w:spacing w:after="60"/>
        <w:ind w:firstLine="567"/>
        <w:jc w:val="both"/>
      </w:pPr>
      <w:r>
        <w:rPr>
          <w:rFonts w:ascii="Arial" w:cs="Arial" w:eastAsia="Arial" w:hAnsi="Arial"/>
          <w:sz w:val="24"/>
          <w:szCs w:val="24"/>
        </w:rPr>
        <w:t xml:space="preserve">В 2016 году в региональном разрезе основной вклад в объем рыночных услуг прогнозируется от гор. Бишкек (54,3%), а также Чуйской (11,7%), Джалал-Абадской (9,7%) областей. Их суммарный вклад составит 75,7%, что непосредственно связано с деловой активностью данных регионов и высокими доходами населения по сравнению с другими областями республики.</w:t>
      </w:r>
    </w:p>
    <w:p>
      <w:pPr>
        <w:spacing w:after="200" w:before="200"/>
        <w:jc w:val="center"/>
      </w:pPr>
      <w:r>
        <w:rPr>
          <w:rFonts w:ascii="Arial" w:cs="Arial" w:eastAsia="Arial" w:hAnsi="Arial"/>
          <w:b/>
          <w:bCs/>
          <w:sz w:val="32"/>
          <w:szCs w:val="32"/>
        </w:rPr>
        <w:t xml:space="preserve">10. Внешнеэкономическая деятельность</w:t>
      </w:r>
    </w:p>
    <w:p>
      <w:pPr>
        <w:spacing w:after="60"/>
        <w:ind w:firstLine="567"/>
        <w:jc w:val="both"/>
      </w:pPr>
      <w:r>
        <w:rPr>
          <w:rFonts w:ascii="Arial" w:cs="Arial" w:eastAsia="Arial" w:hAnsi="Arial"/>
          <w:sz w:val="24"/>
          <w:szCs w:val="24"/>
        </w:rPr>
        <w:t xml:space="preserve">Внешнеэкономическая деятельность в 2016 году будет направлена на создание благоприятных условий для роста и развития экспортного потенциала республики.</w:t>
      </w:r>
    </w:p>
    <w:p>
      <w:pPr>
        <w:spacing w:after="60"/>
        <w:ind w:firstLine="567"/>
        <w:jc w:val="both"/>
      </w:pPr>
      <w:r>
        <w:rPr>
          <w:rFonts w:ascii="Arial" w:cs="Arial" w:eastAsia="Arial" w:hAnsi="Arial"/>
          <w:sz w:val="24"/>
          <w:szCs w:val="24"/>
        </w:rPr>
        <w:t xml:space="preserve">Основными направлениями являются: (1) развитие экспортного потенциала страны; (2) обеспечение гармонизации с документами ЕАЭС в сфере технического регулирования нормативных правовых актов Кыргызской Республики.</w:t>
      </w:r>
    </w:p>
    <w:p>
      <w:pPr>
        <w:spacing w:after="60"/>
        <w:ind w:firstLine="567"/>
        <w:jc w:val="both"/>
      </w:pPr>
      <w:r>
        <w:rPr>
          <w:rFonts w:ascii="Arial" w:cs="Arial" w:eastAsia="Arial" w:hAnsi="Arial"/>
          <w:sz w:val="24"/>
          <w:szCs w:val="24"/>
        </w:rPr>
        <w:t xml:space="preserve">В рамках реализации приоритетов предполагается принятие следующих мер:</w:t>
      </w:r>
    </w:p>
    <w:p>
      <w:pPr>
        <w:spacing w:after="60"/>
        <w:ind w:firstLine="567"/>
        <w:jc w:val="both"/>
      </w:pPr>
      <w:r>
        <w:rPr>
          <w:rFonts w:ascii="Arial" w:cs="Arial" w:eastAsia="Arial" w:hAnsi="Arial"/>
          <w:sz w:val="24"/>
          <w:szCs w:val="24"/>
        </w:rPr>
        <w:t xml:space="preserve">- реализация Плана Правительства Кыргызской Республики по развитию экспорта Кыргызской Республики на 2015-2017 годы, утвержденного постановлением Правительства Кыргызской Республики от 31 марта 2015 года № 174; получение статуса бенефициара всеобщей системы преференций + (ВСП+) для Кыргызской Республики; через нормативные правовые акты расширение функций Государственного предприятия "Центр "единого окна" в сфере внешней торговли" по развитию и продвижению экспорта;</w:t>
      </w:r>
    </w:p>
    <w:p>
      <w:pPr>
        <w:spacing w:after="60"/>
        <w:ind w:firstLine="567"/>
        <w:jc w:val="both"/>
      </w:pPr>
      <w:r>
        <w:rPr>
          <w:rFonts w:ascii="Arial" w:cs="Arial" w:eastAsia="Arial" w:hAnsi="Arial"/>
          <w:sz w:val="24"/>
          <w:szCs w:val="24"/>
        </w:rPr>
        <w:t xml:space="preserve">- проведение переговоров с международными организациями по вопросам применения международных стандартов и с основными торгово-экономическими партнерами - по применению международных и региональных стандартов в качестве кыргызских национальных стандартов;</w:t>
      </w:r>
    </w:p>
    <w:p>
      <w:pPr>
        <w:spacing w:after="60"/>
        <w:ind w:firstLine="567"/>
        <w:jc w:val="both"/>
      </w:pPr>
      <w:r>
        <w:rPr>
          <w:rFonts w:ascii="Arial" w:cs="Arial" w:eastAsia="Arial" w:hAnsi="Arial"/>
          <w:sz w:val="24"/>
          <w:szCs w:val="24"/>
        </w:rPr>
        <w:t xml:space="preserve">- гармонизация национальных стандартов с международными нормами и правилами;</w:t>
      </w:r>
    </w:p>
    <w:p>
      <w:pPr>
        <w:spacing w:after="60"/>
        <w:ind w:firstLine="567"/>
        <w:jc w:val="both"/>
      </w:pPr>
      <w:r>
        <w:rPr>
          <w:rFonts w:ascii="Arial" w:cs="Arial" w:eastAsia="Arial" w:hAnsi="Arial"/>
          <w:sz w:val="24"/>
          <w:szCs w:val="24"/>
        </w:rPr>
        <w:t xml:space="preserve">- заключение соглашений с основными торгово-экономическими партнерами о взаимном признании результатов оценки соответствия стандартов;</w:t>
      </w:r>
    </w:p>
    <w:p>
      <w:pPr>
        <w:spacing w:after="60"/>
        <w:ind w:firstLine="567"/>
        <w:jc w:val="both"/>
      </w:pPr>
      <w:r>
        <w:rPr>
          <w:rFonts w:ascii="Arial" w:cs="Arial" w:eastAsia="Arial" w:hAnsi="Arial"/>
          <w:sz w:val="24"/>
          <w:szCs w:val="24"/>
        </w:rPr>
        <w:t xml:space="preserve">- переоснащение лабораторно-испытательной и эталонной баз с привлечением средств донорских организаций;</w:t>
      </w:r>
    </w:p>
    <w:p>
      <w:pPr>
        <w:spacing w:after="60"/>
        <w:ind w:firstLine="567"/>
        <w:jc w:val="both"/>
      </w:pPr>
      <w:r>
        <w:rPr>
          <w:rFonts w:ascii="Arial" w:cs="Arial" w:eastAsia="Arial" w:hAnsi="Arial"/>
          <w:sz w:val="24"/>
          <w:szCs w:val="24"/>
        </w:rPr>
        <w:t xml:space="preserve">- внесение изменений и дополнений в законодательство по стимулированию хозяйствующих субъектов, внедряющих менеджмент качества и безопасности продуктов;</w:t>
      </w:r>
    </w:p>
    <w:p>
      <w:pPr>
        <w:spacing w:after="60"/>
        <w:ind w:firstLine="567"/>
        <w:jc w:val="both"/>
      </w:pPr>
      <w:r>
        <w:rPr>
          <w:rFonts w:ascii="Arial" w:cs="Arial" w:eastAsia="Arial" w:hAnsi="Arial"/>
          <w:sz w:val="24"/>
          <w:szCs w:val="24"/>
        </w:rPr>
        <w:t xml:space="preserve">- проведение консультационно-информационных мероприятий для частного сектора по вопросам продвижения товаров на рынки государств - членов ЕАЭС.</w:t>
      </w:r>
    </w:p>
    <w:p>
      <w:pPr>
        <w:spacing w:after="60"/>
        <w:ind w:firstLine="567"/>
        <w:jc w:val="both"/>
      </w:pPr>
      <w:r>
        <w:rPr>
          <w:rFonts w:ascii="Arial" w:cs="Arial" w:eastAsia="Arial" w:hAnsi="Arial"/>
          <w:sz w:val="24"/>
          <w:szCs w:val="24"/>
        </w:rPr>
        <w:t xml:space="preserve">Объем внешнеторгового оборота прогнозируется на уровне 7900 млн. долл. США, с номинальным превышением уровня 2015 года на 3,9%.</w:t>
      </w:r>
    </w:p>
    <w:p>
      <w:pPr>
        <w:spacing w:after="60"/>
        <w:ind w:firstLine="567"/>
        <w:jc w:val="both"/>
      </w:pPr>
      <w:r>
        <w:rPr>
          <w:rFonts w:ascii="Arial" w:cs="Arial" w:eastAsia="Arial" w:hAnsi="Arial"/>
          <w:sz w:val="24"/>
          <w:szCs w:val="24"/>
        </w:rPr>
        <w:t xml:space="preserve">Прогнозируется, что номинальный объем экспортных поставок составит до 2,0 млрд. долл. США, и темп роста сложится на уровне 11,1%, за счет увеличения поставок золота - на 17,2%, ламп накаливания - на 0,3%, стекла - на 2,3%, хлопка-волокна - на 9,7% и др.</w:t>
      </w:r>
    </w:p>
    <w:p>
      <w:pPr>
        <w:spacing w:after="60"/>
        <w:ind w:firstLine="567"/>
        <w:jc w:val="both"/>
      </w:pPr>
      <w:r>
        <w:rPr>
          <w:rFonts w:ascii="Arial" w:cs="Arial" w:eastAsia="Arial" w:hAnsi="Arial"/>
          <w:sz w:val="24"/>
          <w:szCs w:val="24"/>
        </w:rPr>
        <w:t xml:space="preserve">Что касается импорта, то его объем сложится в размере 5,9 млрд. долл. США и номинальный рост составит 101,7%, который будет определяться ростом потребительского спроса, связанным с увеличением объемов поставок природного газа на 20,0%, промежуточных товаров, а также потребительских товаров.</w:t>
      </w:r>
    </w:p>
    <w:p>
      <w:pPr>
        <w:spacing w:after="60"/>
        <w:ind w:firstLine="567"/>
        <w:jc w:val="both"/>
      </w:pPr>
      <w:r>
        <w:rPr>
          <w:rFonts w:ascii="Arial" w:cs="Arial" w:eastAsia="Arial" w:hAnsi="Arial"/>
          <w:sz w:val="24"/>
          <w:szCs w:val="24"/>
        </w:rPr>
        <w:t xml:space="preserve">В результате отрицательное сальдо торгового баланса сложится на уровне 3,9 млрд. долл. США.</w:t>
      </w:r>
    </w:p>
    <w:p>
      <w:pPr>
        <w:spacing w:after="60"/>
        <w:ind w:firstLine="567"/>
        <w:jc w:val="both"/>
      </w:pPr>
      <w:r>
        <w:rPr>
          <w:rFonts w:ascii="Arial" w:cs="Arial" w:eastAsia="Arial" w:hAnsi="Arial"/>
          <w:sz w:val="24"/>
          <w:szCs w:val="24"/>
        </w:rPr>
        <w:t xml:space="preserve">Отрицательное сальдо чистого экспорта товаров и услуг к ВВП улучшится с (-)50,2% в 2015 году до (-)50,0% в 2016 году.</w:t>
      </w:r>
    </w:p>
    <w:p>
      <w:pPr>
        <w:spacing w:after="60" w:before="120"/>
        <w:ind w:firstLine="567"/>
        <w:jc w:val="right"/>
      </w:pPr>
      <w:r>
        <w:rPr>
          <w:rFonts w:ascii="Arial" w:cs="Arial" w:eastAsia="Arial" w:hAnsi="Arial"/>
          <w:sz w:val="24"/>
          <w:szCs w:val="24"/>
        </w:rPr>
        <w:t xml:space="preserve">Таблица 15</w:t>
      </w:r>
    </w:p>
    <w:p>
      <w:pPr>
        <w:spacing w:after="200" w:before="200"/>
        <w:jc w:val="center"/>
      </w:pPr>
      <w:r>
        <w:rPr>
          <w:rFonts w:ascii="Arial" w:cs="Arial" w:eastAsia="Arial" w:hAnsi="Arial"/>
          <w:b/>
          <w:bCs/>
          <w:sz w:val="32"/>
          <w:szCs w:val="32"/>
        </w:rPr>
        <w:t xml:space="preserve">ВВП по использованию (в % к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25"/>
        <w:gridCol w:w="1977"/>
        <w:gridCol w:w="1977"/>
      </w:tblGrid>
      <w:tr>
        <w:tc>
          <w:tcPr>
            <w:tcW w:type="dxa" w:w="622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9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19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r>
      <w:tr>
        <w:tc>
          <w:tcPr>
            <w:vMerge w:val="continue"/>
            <w:tcBorders>
              <w:top w:val="single" w:color="CBBF9E" w:sz="4"/>
              <w:left w:val="single" w:color="CBBF9E" w:sz="4"/>
              <w:bottom w:val="single" w:color="CBBF9E" w:sz="4"/>
              <w:right w:val="single" w:color="CBBF9E" w:sz="4"/>
            </w:tcBorders>
          </w:tcP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6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114,9</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w:t>
            </w:r>
          </w:p>
        </w:tc>
      </w:tr>
      <w:tr>
        <w:tc>
          <w:tcPr>
            <w:tcW w:type="dxa" w:w="6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w:t>
            </w:r>
          </w:p>
        </w:tc>
      </w:tr>
      <w:tr>
        <w:tc>
          <w:tcPr>
            <w:tcW w:type="dxa" w:w="6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w:t>
            </w:r>
          </w:p>
        </w:tc>
      </w:tr>
      <w:tr>
        <w:tc>
          <w:tcPr>
            <w:tcW w:type="dxa" w:w="6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w:t>
            </w:r>
          </w:p>
        </w:tc>
      </w:tr>
      <w:tr>
        <w:tc>
          <w:tcPr>
            <w:tcW w:type="dxa" w:w="6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r>
      <w:tr>
        <w:tc>
          <w:tcPr>
            <w:tcW w:type="dxa" w:w="6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ПГИ (внешние)</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r>
      <w:tr>
        <w:tc>
          <w:tcPr>
            <w:tcW w:type="dxa" w:w="6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w:t>
            </w:r>
          </w:p>
        </w:tc>
      </w:tr>
      <w:tr>
        <w:tc>
          <w:tcPr>
            <w:tcW w:type="dxa" w:w="6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(товары и услуги)</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w:t>
            </w:r>
          </w:p>
        </w:tc>
      </w:tr>
      <w:tr>
        <w:tc>
          <w:tcPr>
            <w:tcW w:type="dxa" w:w="6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(товары и услуги)</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81,1</w:t>
            </w:r>
          </w:p>
        </w:tc>
      </w:tr>
      <w:tr>
        <w:tc>
          <w:tcPr>
            <w:tcW w:type="dxa" w:w="6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r>
    </w:tbl>
    <w:p>
      <w:pPr>
        <w:spacing w:after="60" w:before="120"/>
        <w:ind w:firstLine="567"/>
        <w:jc w:val="both"/>
      </w:pPr>
      <w:r>
        <w:rPr>
          <w:rFonts w:ascii="Arial" w:cs="Arial" w:eastAsia="Arial" w:hAnsi="Arial"/>
          <w:sz w:val="24"/>
          <w:szCs w:val="24"/>
        </w:rPr>
        <w:t xml:space="preserve">Прогнозируется, что в 2016 году доля частного потребления составит 98,8% от объема ВВП, темп реального роста сложится на уровне 104,2%.</w:t>
      </w:r>
    </w:p>
    <w:p>
      <w:pPr>
        <w:spacing w:after="60"/>
        <w:ind w:firstLine="567"/>
        <w:jc w:val="both"/>
      </w:pPr>
      <w:r>
        <w:rPr>
          <w:rFonts w:ascii="Arial" w:cs="Arial" w:eastAsia="Arial" w:hAnsi="Arial"/>
          <w:sz w:val="24"/>
          <w:szCs w:val="24"/>
        </w:rPr>
        <w:t xml:space="preserve">Частные потребительские расходы будут подкреплены прогнозируемым номинальным ростом денежных доходов населения на 13,3% за счет создания новых рабочих мест и ростом средней номинальной заработной платы на 12,0%.</w:t>
      </w:r>
    </w:p>
    <w:p>
      <w:pPr>
        <w:spacing w:after="200" w:before="200"/>
        <w:jc w:val="center"/>
      </w:pPr>
      <w:r>
        <w:rPr>
          <w:rFonts w:ascii="Arial" w:cs="Arial" w:eastAsia="Arial" w:hAnsi="Arial"/>
          <w:b/>
          <w:bCs/>
          <w:sz w:val="32"/>
          <w:szCs w:val="32"/>
        </w:rPr>
        <w:t xml:space="preserve">11. Социальная политика</w:t>
      </w:r>
    </w:p>
    <w:p>
      <w:pPr>
        <w:spacing w:after="60"/>
        <w:ind w:firstLine="567"/>
        <w:jc w:val="both"/>
      </w:pPr>
      <w:r>
        <w:rPr>
          <w:rFonts w:ascii="Arial" w:cs="Arial" w:eastAsia="Arial" w:hAnsi="Arial"/>
          <w:sz w:val="24"/>
          <w:szCs w:val="24"/>
        </w:rPr>
        <w:t xml:space="preserve">Политика социального развития в 2016 году, как и прежде, будет направлена, в первую очередь, на выполнение в полном объеме гарантированных социальных обязательств государства, повышение уровня жизни населения, улучшение положения социально незащищенных категорий граждан и снижение масштабов бедности, с учетом современных требований и возможностей государства.</w:t>
      </w:r>
    </w:p>
    <w:p>
      <w:pPr>
        <w:spacing w:after="60"/>
        <w:ind w:firstLine="567"/>
        <w:jc w:val="both"/>
      </w:pPr>
      <w:r>
        <w:rPr>
          <w:rFonts w:ascii="Arial" w:cs="Arial" w:eastAsia="Arial" w:hAnsi="Arial"/>
          <w:sz w:val="24"/>
          <w:szCs w:val="24"/>
        </w:rPr>
        <w:t xml:space="preserve">В целях продолжения начатых реформ, закрепления достигнутых успехов, обеспечения устойчивости системы социальной защиты и преемственности в проведении курса социальной политики принята Программа развития социальной защиты населения Кыргызской Республики на 2015-2017 годы (постановление Правительства Кыргызской Республики от 27 февраля 2015 года № 85).</w:t>
      </w:r>
    </w:p>
    <w:p>
      <w:pPr>
        <w:spacing w:after="60"/>
        <w:ind w:firstLine="567"/>
        <w:jc w:val="both"/>
      </w:pPr>
      <w:r>
        <w:rPr>
          <w:rFonts w:ascii="Arial" w:cs="Arial" w:eastAsia="Arial" w:hAnsi="Arial"/>
          <w:sz w:val="24"/>
          <w:szCs w:val="24"/>
        </w:rPr>
        <w:t xml:space="preserve">Программа нацелена на оказание адресной социальной помощи наиболее уязвимым категориям граждан, стимулирование экономической активности трудоспособного населения и оказание содействия в выходе из трудной жизненной ситуации.</w:t>
      </w:r>
    </w:p>
    <w:p>
      <w:pPr>
        <w:spacing w:after="60"/>
        <w:ind w:firstLine="567"/>
        <w:jc w:val="both"/>
      </w:pPr>
      <w:r>
        <w:rPr>
          <w:rFonts w:ascii="Arial" w:cs="Arial" w:eastAsia="Arial" w:hAnsi="Arial"/>
          <w:sz w:val="24"/>
          <w:szCs w:val="24"/>
        </w:rPr>
        <w:t xml:space="preserve">Основной целью Программы является обеспечение качественными услугами и создание равных возможностей для социально незащищенных категорий граждан. Основными приоритетными направлениями данной Программы являются:</w:t>
      </w:r>
    </w:p>
    <w:p>
      <w:pPr>
        <w:spacing w:after="60"/>
        <w:ind w:firstLine="567"/>
        <w:jc w:val="both"/>
      </w:pPr>
      <w:r>
        <w:rPr>
          <w:rFonts w:ascii="Arial" w:cs="Arial" w:eastAsia="Arial" w:hAnsi="Arial"/>
          <w:sz w:val="24"/>
          <w:szCs w:val="24"/>
        </w:rPr>
        <w:t xml:space="preserve">- социальная защита детей и семей, находящихся в трудной жизненной ситуации;</w:t>
      </w:r>
    </w:p>
    <w:p>
      <w:pPr>
        <w:spacing w:after="60"/>
        <w:ind w:firstLine="567"/>
        <w:jc w:val="both"/>
      </w:pPr>
      <w:r>
        <w:rPr>
          <w:rFonts w:ascii="Arial" w:cs="Arial" w:eastAsia="Arial" w:hAnsi="Arial"/>
          <w:sz w:val="24"/>
          <w:szCs w:val="24"/>
        </w:rPr>
        <w:t xml:space="preserve">- социальная защита лиц с ограниченными возможностями здоровья;</w:t>
      </w:r>
    </w:p>
    <w:p>
      <w:pPr>
        <w:spacing w:after="60"/>
        <w:ind w:firstLine="567"/>
        <w:jc w:val="both"/>
      </w:pPr>
      <w:r>
        <w:rPr>
          <w:rFonts w:ascii="Arial" w:cs="Arial" w:eastAsia="Arial" w:hAnsi="Arial"/>
          <w:sz w:val="24"/>
          <w:szCs w:val="24"/>
        </w:rPr>
        <w:t xml:space="preserve">- социальная защита пожилых граждан.</w:t>
      </w:r>
    </w:p>
    <w:p>
      <w:pPr>
        <w:spacing w:after="60"/>
        <w:ind w:firstLine="567"/>
        <w:jc w:val="both"/>
      </w:pPr>
      <w:r>
        <w:rPr>
          <w:rFonts w:ascii="Arial" w:cs="Arial" w:eastAsia="Arial" w:hAnsi="Arial"/>
          <w:sz w:val="24"/>
          <w:szCs w:val="24"/>
        </w:rPr>
        <w:t xml:space="preserve">Основная цель будет достигнута в результате реализации конкретных задач по приоритетным направлениям:</w:t>
      </w:r>
    </w:p>
    <w:p>
      <w:pPr>
        <w:spacing w:after="60"/>
        <w:ind w:firstLine="567"/>
        <w:jc w:val="both"/>
      </w:pPr>
      <w:r>
        <w:rPr>
          <w:rFonts w:ascii="Arial" w:cs="Arial" w:eastAsia="Arial" w:hAnsi="Arial"/>
          <w:sz w:val="24"/>
          <w:szCs w:val="24"/>
        </w:rPr>
        <w:t xml:space="preserve">- создание условий для развития и жизнедеятельности детей и семей, находящихся в трудной жизненной ситуации, и обеспечение предоставления им качественных социальных услуг;</w:t>
      </w:r>
    </w:p>
    <w:p>
      <w:pPr>
        <w:spacing w:after="60"/>
        <w:ind w:firstLine="567"/>
        <w:jc w:val="both"/>
      </w:pPr>
      <w:r>
        <w:rPr>
          <w:rFonts w:ascii="Arial" w:cs="Arial" w:eastAsia="Arial" w:hAnsi="Arial"/>
          <w:sz w:val="24"/>
          <w:szCs w:val="24"/>
        </w:rPr>
        <w:t xml:space="preserve">- усиление адресности ЕПМС и повышение его размеров;</w:t>
      </w:r>
    </w:p>
    <w:p>
      <w:pPr>
        <w:spacing w:after="60"/>
        <w:ind w:firstLine="567"/>
        <w:jc w:val="both"/>
      </w:pPr>
      <w:r>
        <w:rPr>
          <w:rFonts w:ascii="Arial" w:cs="Arial" w:eastAsia="Arial" w:hAnsi="Arial"/>
          <w:sz w:val="24"/>
          <w:szCs w:val="24"/>
        </w:rPr>
        <w:t xml:space="preserve">- обеспечение равноправного доступа к базовым услугам и создание доступной среды жизнедеятельности для ЛOB3 в целях эффективной интеграции их в общество;</w:t>
      </w:r>
    </w:p>
    <w:p>
      <w:pPr>
        <w:spacing w:after="60"/>
        <w:ind w:firstLine="567"/>
        <w:jc w:val="both"/>
      </w:pPr>
      <w:r>
        <w:rPr>
          <w:rFonts w:ascii="Arial" w:cs="Arial" w:eastAsia="Arial" w:hAnsi="Arial"/>
          <w:sz w:val="24"/>
          <w:szCs w:val="24"/>
        </w:rPr>
        <w:t xml:space="preserve">- обеспечение пожилых граждан достойным уровнем социальных выплат и доступом к качественным социальным услугам.</w:t>
      </w:r>
    </w:p>
    <w:p>
      <w:pPr>
        <w:spacing w:after="60"/>
        <w:ind w:firstLine="567"/>
        <w:jc w:val="both"/>
      </w:pPr>
      <w:r>
        <w:rPr>
          <w:rFonts w:ascii="Arial" w:cs="Arial" w:eastAsia="Arial" w:hAnsi="Arial"/>
          <w:sz w:val="24"/>
          <w:szCs w:val="24"/>
        </w:rPr>
        <w:t xml:space="preserve">В соответствии с НСУР утверждена Концепция развития системы пенсионного обеспечения Кыргызской Республики (постановление Правительства Кыргызской Республики от 24 ноября 2014 года № 670), где определены перспективные направления дальнейших этапов реформирования основных параметров действующей пенсионной системы Кыргызской Республики в целях повышения ее справедливости и эффективности, в том числе, оптимизация расходов республиканского бюджета на пенсионное обеспечение, изменение политики назначения и индексации пенсий в целях усиления страхового принципа.</w:t>
      </w:r>
    </w:p>
    <w:p>
      <w:pPr>
        <w:spacing w:after="60"/>
        <w:ind w:firstLine="567"/>
        <w:jc w:val="both"/>
      </w:pPr>
      <w:r>
        <w:rPr>
          <w:rFonts w:ascii="Arial" w:cs="Arial" w:eastAsia="Arial" w:hAnsi="Arial"/>
          <w:sz w:val="24"/>
          <w:szCs w:val="24"/>
        </w:rPr>
        <w:t xml:space="preserve">Основные усилия в рамках развития пенсионной политики будут предприняты по следующими перспективными направлениям:</w:t>
      </w:r>
    </w:p>
    <w:p>
      <w:pPr>
        <w:spacing w:after="60"/>
        <w:ind w:firstLine="567"/>
        <w:jc w:val="both"/>
      </w:pPr>
      <w:r>
        <w:rPr>
          <w:rFonts w:ascii="Arial" w:cs="Arial" w:eastAsia="Arial" w:hAnsi="Arial"/>
          <w:sz w:val="24"/>
          <w:szCs w:val="24"/>
        </w:rPr>
        <w:t xml:space="preserve">- оптимизация расходов республиканского бюджета на пенсионное обеспечение;</w:t>
      </w:r>
    </w:p>
    <w:p>
      <w:pPr>
        <w:spacing w:after="60"/>
        <w:ind w:firstLine="567"/>
        <w:jc w:val="both"/>
      </w:pPr>
      <w:r>
        <w:rPr>
          <w:rFonts w:ascii="Arial" w:cs="Arial" w:eastAsia="Arial" w:hAnsi="Arial"/>
          <w:sz w:val="24"/>
          <w:szCs w:val="24"/>
        </w:rPr>
        <w:t xml:space="preserve">- переоценка роли базовой части пенсии и компенсационных выплат за электроэнергию в пенсионной системе;</w:t>
      </w:r>
    </w:p>
    <w:p>
      <w:pPr>
        <w:spacing w:after="60"/>
        <w:ind w:firstLine="567"/>
        <w:jc w:val="both"/>
      </w:pPr>
      <w:r>
        <w:rPr>
          <w:rFonts w:ascii="Arial" w:cs="Arial" w:eastAsia="Arial" w:hAnsi="Arial"/>
          <w:sz w:val="24"/>
          <w:szCs w:val="24"/>
        </w:rPr>
        <w:t xml:space="preserve">- тарифная политика государственного социального страхования;</w:t>
      </w:r>
    </w:p>
    <w:p>
      <w:pPr>
        <w:spacing w:after="60"/>
        <w:ind w:firstLine="567"/>
        <w:jc w:val="both"/>
      </w:pPr>
      <w:r>
        <w:rPr>
          <w:rFonts w:ascii="Arial" w:cs="Arial" w:eastAsia="Arial" w:hAnsi="Arial"/>
          <w:sz w:val="24"/>
          <w:szCs w:val="24"/>
        </w:rPr>
        <w:t xml:space="preserve">- внесение изменений в законодательство, предусматривающих повышение возраста выхода на пенсию для отдельных льготных категорий получателей пенсий;</w:t>
      </w:r>
    </w:p>
    <w:p>
      <w:pPr>
        <w:spacing w:after="60"/>
        <w:ind w:firstLine="567"/>
        <w:jc w:val="both"/>
      </w:pPr>
      <w:r>
        <w:rPr>
          <w:rFonts w:ascii="Arial" w:cs="Arial" w:eastAsia="Arial" w:hAnsi="Arial"/>
          <w:sz w:val="24"/>
          <w:szCs w:val="24"/>
        </w:rPr>
        <w:t xml:space="preserve">- пересмотр условий назначения и выплаты надбавок к пенсиям;</w:t>
      </w:r>
    </w:p>
    <w:p>
      <w:pPr>
        <w:spacing w:after="60"/>
        <w:ind w:firstLine="567"/>
        <w:jc w:val="both"/>
      </w:pPr>
      <w:r>
        <w:rPr>
          <w:rFonts w:ascii="Arial" w:cs="Arial" w:eastAsia="Arial" w:hAnsi="Arial"/>
          <w:sz w:val="24"/>
          <w:szCs w:val="24"/>
        </w:rPr>
        <w:t xml:space="preserve">- пенсионное обеспечение трудовых мигрантов.</w:t>
      </w:r>
    </w:p>
    <w:p>
      <w:pPr>
        <w:spacing w:after="60"/>
        <w:ind w:firstLine="567"/>
        <w:jc w:val="both"/>
      </w:pPr>
      <w:r>
        <w:rPr>
          <w:rFonts w:ascii="Arial" w:cs="Arial" w:eastAsia="Arial" w:hAnsi="Arial"/>
          <w:sz w:val="24"/>
          <w:szCs w:val="24"/>
        </w:rPr>
        <w:t xml:space="preserve">Политика занятости будет определяться в рамках Программы содействия занятости населения и регулирования внутренней и внешней трудовой миграции до 2020 года (постановление Правительства Кыргызской Республики от 6 сентября 2013 года № 485).</w:t>
      </w:r>
    </w:p>
    <w:p>
      <w:pPr>
        <w:spacing w:after="60"/>
        <w:ind w:firstLine="567"/>
        <w:jc w:val="both"/>
      </w:pPr>
      <w:r>
        <w:rPr>
          <w:rFonts w:ascii="Arial" w:cs="Arial" w:eastAsia="Arial" w:hAnsi="Arial"/>
          <w:sz w:val="24"/>
          <w:szCs w:val="24"/>
        </w:rPr>
        <w:t xml:space="preserve">Основными направлениями вышеназванной Программы являются:</w:t>
      </w:r>
    </w:p>
    <w:p>
      <w:pPr>
        <w:spacing w:after="60"/>
        <w:ind w:firstLine="567"/>
        <w:jc w:val="both"/>
      </w:pPr>
      <w:r>
        <w:rPr>
          <w:rFonts w:ascii="Arial" w:cs="Arial" w:eastAsia="Arial" w:hAnsi="Arial"/>
          <w:sz w:val="24"/>
          <w:szCs w:val="24"/>
        </w:rPr>
        <w:t xml:space="preserve">- усиление активных мероприятий по содействию занятости безработных граждан и социально-уязвимых слоев населения путем совершенствования нормативной правовой базы в сфере занятости, а также разработки и осуществления ряда мер с учетом специфических потребностей отдельных уязвимых групп;</w:t>
      </w:r>
    </w:p>
    <w:p>
      <w:pPr>
        <w:spacing w:after="60"/>
        <w:ind w:firstLine="567"/>
        <w:jc w:val="both"/>
      </w:pPr>
      <w:r>
        <w:rPr>
          <w:rFonts w:ascii="Arial" w:cs="Arial" w:eastAsia="Arial" w:hAnsi="Arial"/>
          <w:sz w:val="24"/>
          <w:szCs w:val="24"/>
        </w:rPr>
        <w:t xml:space="preserve">- повышение качества и конкурентоспособности рабочей силы на рынке труда путем совершенствования системы обучения, переобучения и повышения квалификации, развития социального партнерства в вопросах внедрения механизмов независимой оценки и сертификации подготовки кадров со стороны работодателей;</w:t>
      </w:r>
    </w:p>
    <w:p>
      <w:pPr>
        <w:spacing w:after="60"/>
        <w:ind w:firstLine="567"/>
        <w:jc w:val="both"/>
      </w:pPr>
      <w:r>
        <w:rPr>
          <w:rFonts w:ascii="Arial" w:cs="Arial" w:eastAsia="Arial" w:hAnsi="Arial"/>
          <w:sz w:val="24"/>
          <w:szCs w:val="24"/>
        </w:rPr>
        <w:t xml:space="preserve">- развитие системы прогнозирования потребности в трудовых ресурсах и информационной системы рынка труда через проведение анализа рынка труда, определение структуры и объема подготовки специалистов в соответствии с потребностями отраслей экономики страны;</w:t>
      </w:r>
    </w:p>
    <w:p>
      <w:pPr>
        <w:spacing w:after="60"/>
        <w:ind w:firstLine="567"/>
        <w:jc w:val="both"/>
      </w:pPr>
      <w:r>
        <w:rPr>
          <w:rFonts w:ascii="Arial" w:cs="Arial" w:eastAsia="Arial" w:hAnsi="Arial"/>
          <w:sz w:val="24"/>
          <w:szCs w:val="24"/>
        </w:rPr>
        <w:t xml:space="preserve">- обеспечение полноценной системы по защите прав и интересов граждан Кыргызской Республики, осуществляющих трудовую деятельность за рубежом;</w:t>
      </w:r>
    </w:p>
    <w:p>
      <w:pPr>
        <w:spacing w:after="60"/>
        <w:ind w:firstLine="567"/>
        <w:jc w:val="both"/>
      </w:pPr>
      <w:r>
        <w:rPr>
          <w:rFonts w:ascii="Arial" w:cs="Arial" w:eastAsia="Arial" w:hAnsi="Arial"/>
          <w:sz w:val="24"/>
          <w:szCs w:val="24"/>
        </w:rPr>
        <w:t xml:space="preserve">- формирование и развитие эффективной системы государственного регулирования трудовой миграции путем совершенствования законодательства, информационно-образовательного обеспечения, предоставления услуг гражданам Кыргызской Республики, желающим осуществлять трудовую деятельность за рубежом;</w:t>
      </w:r>
    </w:p>
    <w:p>
      <w:pPr>
        <w:spacing w:after="60"/>
        <w:ind w:firstLine="567"/>
        <w:jc w:val="both"/>
      </w:pPr>
      <w:r>
        <w:rPr>
          <w:rFonts w:ascii="Arial" w:cs="Arial" w:eastAsia="Arial" w:hAnsi="Arial"/>
          <w:sz w:val="24"/>
          <w:szCs w:val="24"/>
        </w:rPr>
        <w:t xml:space="preserve">- развитие форм и методов регулирования трудовой миграции, основанных на развитии двусторонних и многосторонних межгосударственных отношений;</w:t>
      </w:r>
    </w:p>
    <w:p>
      <w:pPr>
        <w:spacing w:after="60"/>
        <w:ind w:firstLine="567"/>
        <w:jc w:val="both"/>
      </w:pPr>
      <w:r>
        <w:rPr>
          <w:rFonts w:ascii="Arial" w:cs="Arial" w:eastAsia="Arial" w:hAnsi="Arial"/>
          <w:sz w:val="24"/>
          <w:szCs w:val="24"/>
        </w:rPr>
        <w:t xml:space="preserve">- повышение качества и эффективности работы служб занятости по предоставлению услуг в сфере занятости и миграции.</w:t>
      </w:r>
    </w:p>
    <w:p>
      <w:pPr>
        <w:spacing w:after="60"/>
        <w:ind w:firstLine="567"/>
        <w:jc w:val="both"/>
      </w:pPr>
      <w:r>
        <w:rPr>
          <w:rFonts w:ascii="Arial" w:cs="Arial" w:eastAsia="Arial" w:hAnsi="Arial"/>
          <w:sz w:val="24"/>
          <w:szCs w:val="24"/>
        </w:rPr>
        <w:t xml:space="preserve">С учетом присоединения Кыргызской Республики к ЕАЭС планируется заключение соглашения между Кыргызской Республикой и государствами - членами ЕАЭС по организованному найму, социальному страхованию и защите трудовых мигрантов.</w:t>
      </w:r>
    </w:p>
    <w:p>
      <w:pPr>
        <w:spacing w:after="60"/>
        <w:ind w:firstLine="567"/>
        <w:jc w:val="both"/>
      </w:pPr>
      <w:r>
        <w:rPr>
          <w:rFonts w:ascii="Arial" w:cs="Arial" w:eastAsia="Arial" w:hAnsi="Arial"/>
          <w:sz w:val="24"/>
          <w:szCs w:val="24"/>
        </w:rPr>
        <w:t xml:space="preserve">Внутренняя миграционная политика будет направлена главным образом на упрощение выдачи разрешений на привлечение иностранной высококвалифицированной рабочей силы и обеспечение прозрачности при рассмотрении вопроса о выдаче разрешения.</w:t>
      </w:r>
    </w:p>
    <w:p>
      <w:pPr>
        <w:spacing w:after="60"/>
        <w:ind w:firstLine="567"/>
        <w:jc w:val="both"/>
      </w:pPr>
      <w:r>
        <w:rPr>
          <w:rFonts w:ascii="Arial" w:cs="Arial" w:eastAsia="Arial" w:hAnsi="Arial"/>
          <w:sz w:val="24"/>
          <w:szCs w:val="24"/>
        </w:rPr>
        <w:t xml:space="preserve">Для этого планируется проведение политики по привлечению иностранных граждан на работу в Кыргызскую Республику, с учетом необходимости создания условий для привлечения иностранных инвестиций, освоения новых производственных технологий, реализации крупных инфраструктурных проектов с участием иностранного капитала, при обеспечении приоритетного права граждан Кыргызской Республики на занятие вакантных и создаваемых рабочих мест. Большое внимание уделяется привлечению высококвалифицированной рабочей силы для обеспечения потребности в специалистах.</w:t>
      </w:r>
    </w:p>
    <w:p>
      <w:pPr>
        <w:spacing w:after="60"/>
        <w:ind w:firstLine="567"/>
        <w:jc w:val="both"/>
      </w:pPr>
      <w:r>
        <w:rPr>
          <w:rFonts w:ascii="Arial" w:cs="Arial" w:eastAsia="Arial" w:hAnsi="Arial"/>
          <w:sz w:val="24"/>
          <w:szCs w:val="24"/>
        </w:rPr>
        <w:t xml:space="preserve">Основные направления деятельности в системе здравоохранения будут реализовываться согласно Национальной программе реформирования здравоохранения Кыргызской Республики "Ден соолук" на 2012-2016 годы (постановление Правительства Кыргызской Республики от 24 мая 2012 года № 309). Также принята Стратегия охраны и укрепления здоровья населения Кыргызской Республики до 2020 года ("Здоровье-2020") (постановление Правительства Кыргызской Республики от 4 июня 2014 года № 306). Целью стратегии "Здоровье-2020" является создание социальных, экономических и управленческих условий, необходимых для эффективной профилактики различных заболеваний, повышения качества и доступности медицинских услуг в организациях здравоохранения и устойчивости системы здравоохранения, движимой интересами людей и каждого человека, на основе межсекторального подхода и соблюдении принципа солидарности.</w:t>
      </w:r>
    </w:p>
    <w:p>
      <w:pPr>
        <w:spacing w:after="60"/>
        <w:ind w:firstLine="567"/>
        <w:jc w:val="both"/>
      </w:pPr>
      <w:r>
        <w:rPr>
          <w:rFonts w:ascii="Arial" w:cs="Arial" w:eastAsia="Arial" w:hAnsi="Arial"/>
          <w:sz w:val="24"/>
          <w:szCs w:val="24"/>
        </w:rPr>
        <w:t xml:space="preserve">Основными задачами в сфере здравоохранения являются:</w:t>
      </w:r>
    </w:p>
    <w:p>
      <w:pPr>
        <w:spacing w:after="60"/>
        <w:ind w:firstLine="567"/>
        <w:jc w:val="both"/>
      </w:pPr>
      <w:r>
        <w:rPr>
          <w:rFonts w:ascii="Arial" w:cs="Arial" w:eastAsia="Arial" w:hAnsi="Arial"/>
          <w:sz w:val="24"/>
          <w:szCs w:val="24"/>
        </w:rPr>
        <w:t xml:space="preserve">- обеспечение всеобщего доступа населения к услугам здравоохранения;</w:t>
      </w:r>
    </w:p>
    <w:p>
      <w:pPr>
        <w:spacing w:after="60"/>
        <w:ind w:firstLine="567"/>
        <w:jc w:val="both"/>
      </w:pPr>
      <w:r>
        <w:rPr>
          <w:rFonts w:ascii="Arial" w:cs="Arial" w:eastAsia="Arial" w:hAnsi="Arial"/>
          <w:sz w:val="24"/>
          <w:szCs w:val="24"/>
        </w:rPr>
        <w:t xml:space="preserve">- удовлетворение потребностей социально-уязвимых групп населения (несовершеннолетние, пожилые граждане, лица с ограниченными возможностями здоровья и другие);</w:t>
      </w:r>
    </w:p>
    <w:p>
      <w:pPr>
        <w:spacing w:after="60"/>
        <w:ind w:firstLine="567"/>
        <w:jc w:val="both"/>
      </w:pPr>
      <w:r>
        <w:rPr>
          <w:rFonts w:ascii="Arial" w:cs="Arial" w:eastAsia="Arial" w:hAnsi="Arial"/>
          <w:sz w:val="24"/>
          <w:szCs w:val="24"/>
        </w:rPr>
        <w:t xml:space="preserve">- вовлечение других секторов в вопросы охраны и укрепления здоровья населения;</w:t>
      </w:r>
    </w:p>
    <w:p>
      <w:pPr>
        <w:spacing w:after="60"/>
        <w:ind w:firstLine="567"/>
        <w:jc w:val="both"/>
      </w:pPr>
      <w:r>
        <w:rPr>
          <w:rFonts w:ascii="Arial" w:cs="Arial" w:eastAsia="Arial" w:hAnsi="Arial"/>
          <w:sz w:val="24"/>
          <w:szCs w:val="24"/>
        </w:rPr>
        <w:t xml:space="preserve">- реализация комплексных мер по улучшению показателей здравоохранения, с учетом социально-экономических и культурных факторов, интеграции вопросов здравоохранения в отраслевые программы.</w:t>
      </w:r>
    </w:p>
    <w:p>
      <w:pPr>
        <w:spacing w:after="60"/>
        <w:ind w:firstLine="567"/>
        <w:jc w:val="both"/>
      </w:pPr>
      <w:r>
        <w:rPr>
          <w:rFonts w:ascii="Arial" w:cs="Arial" w:eastAsia="Arial" w:hAnsi="Arial"/>
          <w:sz w:val="24"/>
          <w:szCs w:val="24"/>
        </w:rPr>
        <w:t xml:space="preserve">Снижение материнской и младенческой смертности будет также решаться в рамках Программы по улучшению перинатальной помощи в Кыргызской Республике на 2008-2017 годы (утверждена приказом Министерства здравоохранения Кыргызской Республики от 20 июня 2008 года № 315), целью которой является снижение материнской, перинатальной, неонатальной и младенческой смертности, улучшение качества медицинской помощи, оказываемой матерям и новорожденным, предоставление равных возможностей во всех регионах страны, включая создание многоуровневой системы перинатальной/неонатальной помощи.</w:t>
      </w:r>
    </w:p>
    <w:p>
      <w:pPr>
        <w:spacing w:after="60"/>
        <w:ind w:firstLine="567"/>
        <w:jc w:val="both"/>
      </w:pPr>
      <w:r>
        <w:rPr>
          <w:rFonts w:ascii="Arial" w:cs="Arial" w:eastAsia="Arial" w:hAnsi="Arial"/>
          <w:sz w:val="24"/>
          <w:szCs w:val="24"/>
        </w:rPr>
        <w:t xml:space="preserve">Реформирование системы образования в Кыргызской Республике будет осуществляться в рамках Стратегии развития образования в Кыргызской Республике на 2012-2020 годы (постановление Правительства Кыргызской Республики от 23 марта 2012 года № 201). Ее реализация направлена на построение гибкой, открытой, соответствующей современным требованиям национальной системы образования, с учетом лучших традиций отечественного образования и международного опыта.</w:t>
      </w:r>
    </w:p>
    <w:p>
      <w:pPr>
        <w:spacing w:after="60"/>
        <w:ind w:firstLine="567"/>
        <w:jc w:val="both"/>
      </w:pPr>
      <w:r>
        <w:rPr>
          <w:rFonts w:ascii="Arial" w:cs="Arial" w:eastAsia="Arial" w:hAnsi="Arial"/>
          <w:sz w:val="24"/>
          <w:szCs w:val="24"/>
        </w:rPr>
        <w:t xml:space="preserve">В сфере дошкольного образования основной упор планируется направить на следующие направления:</w:t>
      </w:r>
    </w:p>
    <w:p>
      <w:pPr>
        <w:spacing w:after="60"/>
        <w:ind w:firstLine="567"/>
        <w:jc w:val="both"/>
      </w:pPr>
      <w:r>
        <w:rPr>
          <w:rFonts w:ascii="Arial" w:cs="Arial" w:eastAsia="Arial" w:hAnsi="Arial"/>
          <w:sz w:val="24"/>
          <w:szCs w:val="24"/>
        </w:rPr>
        <w:t xml:space="preserve">- повышение охвата детей 5-6 лет (включая детей с ограниченными возможностями здоровья) программой предшкольной подготовки через существующую сеть образовательных организаций;</w:t>
      </w:r>
    </w:p>
    <w:p>
      <w:pPr>
        <w:spacing w:after="60"/>
        <w:ind w:firstLine="567"/>
        <w:jc w:val="both"/>
      </w:pPr>
      <w:r>
        <w:rPr>
          <w:rFonts w:ascii="Arial" w:cs="Arial" w:eastAsia="Arial" w:hAnsi="Arial"/>
          <w:sz w:val="24"/>
          <w:szCs w:val="24"/>
        </w:rPr>
        <w:t xml:space="preserve">- реализация Государственного стандарта по дошкольному образованию (включая инклюзивное образование);</w:t>
      </w:r>
    </w:p>
    <w:p>
      <w:pPr>
        <w:spacing w:after="60"/>
        <w:ind w:firstLine="567"/>
        <w:jc w:val="both"/>
      </w:pPr>
      <w:r>
        <w:rPr>
          <w:rFonts w:ascii="Arial" w:cs="Arial" w:eastAsia="Arial" w:hAnsi="Arial"/>
          <w:sz w:val="24"/>
          <w:szCs w:val="24"/>
        </w:rPr>
        <w:t xml:space="preserve">- повышение квалификации педагогов, работающих в государственных дошкольных образовательных организациях, на курсах и тренингах;</w:t>
      </w:r>
    </w:p>
    <w:p>
      <w:pPr>
        <w:spacing w:after="60"/>
        <w:ind w:firstLine="567"/>
        <w:jc w:val="both"/>
      </w:pPr>
      <w:r>
        <w:rPr>
          <w:rFonts w:ascii="Arial" w:cs="Arial" w:eastAsia="Arial" w:hAnsi="Arial"/>
          <w:sz w:val="24"/>
          <w:szCs w:val="24"/>
        </w:rPr>
        <w:t xml:space="preserve">- расширение сети государственных и муниципальных дошкольных образовательных организаций путем строительства новых зданий;</w:t>
      </w:r>
    </w:p>
    <w:p>
      <w:pPr>
        <w:spacing w:after="60"/>
        <w:ind w:firstLine="567"/>
        <w:jc w:val="both"/>
      </w:pPr>
      <w:r>
        <w:rPr>
          <w:rFonts w:ascii="Arial" w:cs="Arial" w:eastAsia="Arial" w:hAnsi="Arial"/>
          <w:sz w:val="24"/>
          <w:szCs w:val="24"/>
        </w:rPr>
        <w:t xml:space="preserve">- оптимизации управления и финансирования детских учреждений интернатного типа.</w:t>
      </w:r>
    </w:p>
    <w:p>
      <w:pPr>
        <w:spacing w:after="60"/>
        <w:ind w:firstLine="567"/>
        <w:jc w:val="both"/>
      </w:pPr>
      <w:r>
        <w:rPr>
          <w:rFonts w:ascii="Arial" w:cs="Arial" w:eastAsia="Arial" w:hAnsi="Arial"/>
          <w:sz w:val="24"/>
          <w:szCs w:val="24"/>
        </w:rPr>
        <w:t xml:space="preserve">В рамках школьного образования будут реализовываться такие меры как:</w:t>
      </w:r>
    </w:p>
    <w:p>
      <w:pPr>
        <w:spacing w:after="60"/>
        <w:ind w:firstLine="567"/>
        <w:jc w:val="both"/>
      </w:pPr>
      <w:r>
        <w:rPr>
          <w:rFonts w:ascii="Arial" w:cs="Arial" w:eastAsia="Arial" w:hAnsi="Arial"/>
          <w:sz w:val="24"/>
          <w:szCs w:val="24"/>
        </w:rPr>
        <w:t xml:space="preserve">- модернизация содержания образования с учетом компетентностного подхода;</w:t>
      </w:r>
    </w:p>
    <w:p>
      <w:pPr>
        <w:spacing w:after="60"/>
        <w:ind w:firstLine="567"/>
        <w:jc w:val="both"/>
      </w:pPr>
      <w:r>
        <w:rPr>
          <w:rFonts w:ascii="Arial" w:cs="Arial" w:eastAsia="Arial" w:hAnsi="Arial"/>
          <w:sz w:val="24"/>
          <w:szCs w:val="24"/>
        </w:rPr>
        <w:t xml:space="preserve">- обеспечение условий предоставления инклюзивного образования детям с особыми потребностями на базе общеобразовательных и специализированных школ;</w:t>
      </w:r>
    </w:p>
    <w:p>
      <w:pPr>
        <w:spacing w:after="60"/>
        <w:ind w:firstLine="567"/>
        <w:jc w:val="both"/>
      </w:pPr>
      <w:r>
        <w:rPr>
          <w:rFonts w:ascii="Arial" w:cs="Arial" w:eastAsia="Arial" w:hAnsi="Arial"/>
          <w:sz w:val="24"/>
          <w:szCs w:val="24"/>
        </w:rPr>
        <w:t xml:space="preserve">- перевод общеобразовательных организаций на принципы финансово-административной самостоятельности, основанной на ответственности перед получателем образовательных услуг.</w:t>
      </w:r>
    </w:p>
    <w:p>
      <w:pPr>
        <w:spacing w:after="60"/>
        <w:ind w:firstLine="567"/>
        <w:jc w:val="both"/>
      </w:pPr>
      <w:r>
        <w:rPr>
          <w:rFonts w:ascii="Arial" w:cs="Arial" w:eastAsia="Arial" w:hAnsi="Arial"/>
          <w:sz w:val="24"/>
          <w:szCs w:val="24"/>
        </w:rPr>
        <w:t xml:space="preserve">Главными приоритетами в среднем профессиональном образовании являются:</w:t>
      </w:r>
    </w:p>
    <w:p>
      <w:pPr>
        <w:spacing w:after="60"/>
        <w:ind w:firstLine="567"/>
        <w:jc w:val="both"/>
      </w:pPr>
      <w:r>
        <w:rPr>
          <w:rFonts w:ascii="Arial" w:cs="Arial" w:eastAsia="Arial" w:hAnsi="Arial"/>
          <w:sz w:val="24"/>
          <w:szCs w:val="24"/>
        </w:rPr>
        <w:t xml:space="preserve">- изменение структуры подготовки кадров со средним и высшим профессиональным образованием на основе анализа страновых приоритетов и экономической стратегии регионов;</w:t>
      </w:r>
    </w:p>
    <w:p>
      <w:pPr>
        <w:spacing w:after="60"/>
        <w:ind w:firstLine="567"/>
        <w:jc w:val="both"/>
      </w:pPr>
      <w:r>
        <w:rPr>
          <w:rFonts w:ascii="Arial" w:cs="Arial" w:eastAsia="Arial" w:hAnsi="Arial"/>
          <w:sz w:val="24"/>
          <w:szCs w:val="24"/>
        </w:rPr>
        <w:t xml:space="preserve">- привлечение работодателей к формированию квалификационной характеристики и процессу оценки квалификации выпускников, повышению качества кадрового потенциала педагогических работников спузов;</w:t>
      </w:r>
    </w:p>
    <w:p>
      <w:pPr>
        <w:spacing w:after="60"/>
        <w:ind w:firstLine="567"/>
        <w:jc w:val="both"/>
      </w:pPr>
      <w:r>
        <w:rPr>
          <w:rFonts w:ascii="Arial" w:cs="Arial" w:eastAsia="Arial" w:hAnsi="Arial"/>
          <w:sz w:val="24"/>
          <w:szCs w:val="24"/>
        </w:rPr>
        <w:t xml:space="preserve">- информирование населения о системе среднего профессионального образования республики, направленное на повышение имиджа среднего профессионального образования;</w:t>
      </w:r>
    </w:p>
    <w:p>
      <w:pPr>
        <w:spacing w:after="60"/>
        <w:ind w:firstLine="567"/>
        <w:jc w:val="both"/>
      </w:pPr>
      <w:r>
        <w:rPr>
          <w:rFonts w:ascii="Arial" w:cs="Arial" w:eastAsia="Arial" w:hAnsi="Arial"/>
          <w:sz w:val="24"/>
          <w:szCs w:val="24"/>
        </w:rPr>
        <w:t xml:space="preserve">- подготовка кадров в вузах в соответствии с потребностями рынка труда;</w:t>
      </w:r>
    </w:p>
    <w:p>
      <w:pPr>
        <w:spacing w:after="60"/>
        <w:ind w:firstLine="567"/>
        <w:jc w:val="both"/>
      </w:pPr>
      <w:r>
        <w:rPr>
          <w:rFonts w:ascii="Arial" w:cs="Arial" w:eastAsia="Arial" w:hAnsi="Arial"/>
          <w:sz w:val="24"/>
          <w:szCs w:val="24"/>
        </w:rPr>
        <w:t xml:space="preserve">- содействие адаптации экономически активного населения к быстро меняющимся требованиям рынка труда.</w:t>
      </w:r>
    </w:p>
    <w:p>
      <w:pPr>
        <w:spacing w:after="60"/>
        <w:ind w:firstLine="567"/>
        <w:jc w:val="both"/>
      </w:pPr>
      <w:r>
        <w:rPr>
          <w:rFonts w:ascii="Arial" w:cs="Arial" w:eastAsia="Arial" w:hAnsi="Arial"/>
          <w:sz w:val="24"/>
          <w:szCs w:val="24"/>
        </w:rPr>
        <w:t xml:space="preserve">Исходя из прогнозируемых параметров развития экономики в 2016 году, основные социальные показатели, характеризующие уровень жизни, будут складываться следующим образом:</w:t>
      </w:r>
    </w:p>
    <w:p>
      <w:pPr>
        <w:spacing w:after="60"/>
        <w:ind w:firstLine="567"/>
        <w:jc w:val="both"/>
      </w:pPr>
      <w:r>
        <w:rPr>
          <w:rFonts w:ascii="Arial" w:cs="Arial" w:eastAsia="Arial" w:hAnsi="Arial"/>
          <w:sz w:val="24"/>
          <w:szCs w:val="24"/>
        </w:rPr>
        <w:t xml:space="preserve">- объем ВВП на душу населения в 2016 году увеличится относительно 2015 года с 76,8 до 86,3 тыс. сомов или на 12,3%;</w:t>
      </w:r>
    </w:p>
    <w:p>
      <w:pPr>
        <w:spacing w:after="60"/>
        <w:ind w:firstLine="567"/>
        <w:jc w:val="both"/>
      </w:pPr>
      <w:r>
        <w:rPr>
          <w:rFonts w:ascii="Arial" w:cs="Arial" w:eastAsia="Arial" w:hAnsi="Arial"/>
          <w:sz w:val="24"/>
          <w:szCs w:val="24"/>
        </w:rPr>
        <w:t xml:space="preserve">- номинальные денежные доходы населения возрастут на 13,3% относительно 2015 года и их объем составит 352,8 млрд. сомов. С учетом прогнозируемого роста потребительских цен, реальный темп прироста денежных доходов составит 105;0%. В структуре денежных доходов увеличится "заработная плата", где номинальный размер возрастет на 12,0% и составит 14900,0 сомов, а в реальном выражении увеличится на 3,8%. Номинальный размер средней пенсии вырастет на 5,6% и составит 4965,0 сомов. Прожиточный минимум составит 5762,1 сомов.</w:t>
      </w:r>
    </w:p>
    <w:p>
      <w:pPr>
        <w:spacing w:after="60"/>
        <w:ind w:firstLine="567"/>
        <w:jc w:val="both"/>
      </w:pPr>
      <w:r>
        <w:rPr>
          <w:rFonts w:ascii="Arial" w:cs="Arial" w:eastAsia="Arial" w:hAnsi="Arial"/>
          <w:sz w:val="24"/>
          <w:szCs w:val="24"/>
        </w:rPr>
        <w:t xml:space="preserve">Таким образом, прогнозируемый экономический рост в 2016 году на 5,2% будет обеспечен положительным ростом всех секторов экономики. Для достижения прогнозируемых макроэкономических параметров будет проводиться согласованная денежно-кредитная, налогово-бюджетная, инвестиционная, инновационная политика всеми участниками экономического процесса, которые создадут основу для разработки соответствующих мероприятий, включающих комплекс экономических, организационных и правовых мер для поэтапного развития.</w:t>
      </w:r>
    </w:p>
    <w:p>
      <w:pPr>
        <w:spacing w:after="200" w:before="200"/>
        <w:jc w:val="center"/>
      </w:pPr>
      <w:r>
        <w:rPr>
          <w:rFonts w:ascii="Arial" w:cs="Arial" w:eastAsia="Arial" w:hAnsi="Arial"/>
          <w:b/>
          <w:bCs/>
          <w:sz w:val="32"/>
          <w:szCs w:val="32"/>
        </w:rPr>
        <w:t xml:space="preserve">VI. Макроэкономический прогноз на 2017-2018 годы</w:t>
      </w:r>
    </w:p>
    <w:p>
      <w:pPr>
        <w:spacing w:after="60"/>
        <w:ind w:firstLine="567"/>
        <w:jc w:val="both"/>
      </w:pPr>
      <w:r>
        <w:rPr>
          <w:rFonts w:ascii="Arial" w:cs="Arial" w:eastAsia="Arial" w:hAnsi="Arial"/>
          <w:sz w:val="24"/>
          <w:szCs w:val="24"/>
        </w:rPr>
        <w:t xml:space="preserve">В 2017-2018 годы главными целями экономической политики будут закрепление наметившихся позитивных тенденций в социально-экономическом развитии, упреждение ожидаемых проблем и обеспечение устойчивого экономического роста.</w:t>
      </w:r>
    </w:p>
    <w:p>
      <w:pPr>
        <w:spacing w:after="60"/>
        <w:ind w:firstLine="567"/>
        <w:jc w:val="both"/>
      </w:pPr>
      <w:r>
        <w:rPr>
          <w:rFonts w:ascii="Arial" w:cs="Arial" w:eastAsia="Arial" w:hAnsi="Arial"/>
          <w:sz w:val="24"/>
          <w:szCs w:val="24"/>
        </w:rPr>
        <w:t xml:space="preserve">Целевые макроэкономические показатели будут достигаться через продолжение реализации крупных национальных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w:t>
      </w:r>
    </w:p>
    <w:p>
      <w:pPr>
        <w:spacing w:after="60" w:before="120"/>
        <w:ind w:firstLine="567"/>
        <w:jc w:val="right"/>
      </w:pPr>
      <w:r>
        <w:rPr>
          <w:rFonts w:ascii="Arial" w:cs="Arial" w:eastAsia="Arial" w:hAnsi="Arial"/>
          <w:sz w:val="24"/>
          <w:szCs w:val="24"/>
        </w:rPr>
        <w:t xml:space="preserve">Таблица 16</w:t>
      </w:r>
    </w:p>
    <w:p>
      <w:pPr>
        <w:spacing w:after="200" w:before="200"/>
        <w:jc w:val="center"/>
      </w:pPr>
      <w:r>
        <w:rPr>
          <w:rFonts w:ascii="Arial" w:cs="Arial" w:eastAsia="Arial" w:hAnsi="Arial"/>
          <w:b/>
          <w:bCs/>
          <w:sz w:val="32"/>
          <w:szCs w:val="32"/>
        </w:rPr>
        <w:t xml:space="preserve">Реальные вклады секторов производства ВВП на 2017-2018 годы,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10"/>
        <w:gridCol w:w="1276"/>
        <w:gridCol w:w="1276"/>
        <w:gridCol w:w="1893"/>
        <w:gridCol w:w="1724"/>
        <w:gridCol w:w="1698"/>
      </w:tblGrid>
      <w:tr>
        <w:tc>
          <w:tcPr>
            <w:tcW w:type="dxa" w:w="231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 прогноз</w:t>
            </w:r>
          </w:p>
        </w:tc>
        <w:tc>
          <w:tcPr>
            <w:tcW w:type="dxa" w:w="12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 прогноз</w:t>
            </w:r>
          </w:p>
        </w:tc>
        <w:tc>
          <w:tcPr>
            <w:tcW w:type="dxa" w:w="18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удельный вес на 2017-2018 годы</w:t>
            </w:r>
          </w:p>
        </w:tc>
        <w:tc>
          <w:tcPr>
            <w:tcW w:type="dxa" w:w="17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темп роста на 2017-2018 годы</w:t>
            </w:r>
          </w:p>
        </w:tc>
        <w:tc>
          <w:tcPr>
            <w:tcW w:type="dxa" w:w="16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Вклад в прирост ВВП на 2017-2018 годы</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0,44</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w:t>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0,95</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w:t>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49,35</w:t>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104,15</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Налоги на продукты и импорт</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0,62</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ВВП, %</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ВВП</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Исходя из ожидаемых показателей социально-экономического развития Кыргызской Республики в 2015 году и прогнозируемых показателей на 2016 год, среднегодовой реальный рост ВВП на 2017-2018 годы прогнозируется на уровне 4,4%.</w:t>
      </w:r>
    </w:p>
    <w:p>
      <w:pPr>
        <w:spacing w:after="60"/>
        <w:ind w:firstLine="567"/>
        <w:jc w:val="both"/>
      </w:pPr>
      <w:r>
        <w:rPr>
          <w:rFonts w:ascii="Arial" w:cs="Arial" w:eastAsia="Arial" w:hAnsi="Arial"/>
          <w:sz w:val="24"/>
          <w:szCs w:val="24"/>
        </w:rPr>
        <w:t xml:space="preserve">В секторальном разрезе в 2017-2018 годах прогнозируемые среднегодовые темпы роста составят: в сельском хозяйстве - 3,1%, в промышленности - 2,8%, в строительстве - 10,9%, в сфере предоставления услуг - 4,1%.</w:t>
      </w:r>
    </w:p>
    <w:p>
      <w:pPr>
        <w:spacing w:after="60"/>
        <w:ind w:firstLine="567"/>
        <w:jc w:val="both"/>
      </w:pPr>
      <w:r>
        <w:rPr>
          <w:rFonts w:ascii="Arial" w:cs="Arial" w:eastAsia="Arial" w:hAnsi="Arial"/>
          <w:sz w:val="24"/>
          <w:szCs w:val="24"/>
        </w:rPr>
        <w:t xml:space="preserve">На 2017-2018 годы рост ВВП прогнозируется в основном за счет Чуйской, Джалал-Абадской, Иссык-Кульской, Ошской областей и гор. Бишкек.</w:t>
      </w:r>
    </w:p>
    <w:p>
      <w:pPr>
        <w:spacing w:after="60"/>
        <w:ind w:firstLine="567"/>
        <w:jc w:val="both"/>
      </w:pPr>
      <w:r>
        <w:rPr>
          <w:rFonts w:ascii="Arial" w:cs="Arial" w:eastAsia="Arial" w:hAnsi="Arial"/>
          <w:sz w:val="24"/>
          <w:szCs w:val="24"/>
        </w:rPr>
        <w:t xml:space="preserve">В целом на период 2017-2018 годы уровень инфляции прогнозируется на уровне однозначных показателей, при условии отсутствия шоков, в основу заложено продолжение проведения согласованной денежно-кредитной и бюджетно-налоговой политики, направленной на укрепление тенденций макроэкономической стабильности. При этом, основной целью денежно-кредитной политики останется достижение и поддержание стабильности цен.</w:t>
      </w:r>
    </w:p>
    <w:p>
      <w:pPr>
        <w:spacing w:after="60"/>
        <w:ind w:firstLine="567"/>
        <w:jc w:val="both"/>
      </w:pPr>
      <w:r>
        <w:rPr>
          <w:rFonts w:ascii="Arial" w:cs="Arial" w:eastAsia="Arial" w:hAnsi="Arial"/>
          <w:sz w:val="24"/>
          <w:szCs w:val="24"/>
        </w:rPr>
        <w:t xml:space="preserve">Основные направления денежно-кредитной, налогово-бюджетной, инвестиционной, социальной политики будут осуществляться в соответствии с принятыми совместными заявлениями Правительства Кыргызской Республики и Национального банка Кыргызской Республики об экономической политике на каждый предстоящий год.</w:t>
      </w:r>
    </w:p>
    <w:p>
      <w:pPr>
        <w:spacing w:after="60"/>
        <w:ind w:firstLine="567"/>
        <w:jc w:val="both"/>
      </w:pPr>
      <w:r>
        <w:rPr>
          <w:rFonts w:ascii="Arial" w:cs="Arial" w:eastAsia="Arial" w:hAnsi="Arial"/>
          <w:sz w:val="24"/>
          <w:szCs w:val="24"/>
        </w:rPr>
        <w:t xml:space="preserve">Во всех секторах экономики прогнозируются положительные темпы роста.</w:t>
      </w:r>
    </w:p>
    <w:p>
      <w:pPr>
        <w:spacing w:after="60"/>
        <w:ind w:firstLine="567"/>
        <w:jc w:val="both"/>
      </w:pPr>
      <w:r>
        <w:rPr>
          <w:rFonts w:ascii="Arial" w:cs="Arial" w:eastAsia="Arial" w:hAnsi="Arial"/>
          <w:sz w:val="24"/>
          <w:szCs w:val="24"/>
        </w:rPr>
        <w:t xml:space="preserve">Сфера услуг. В 2017-2018 годах рост сферы услуг составит 104,1% в среднем за год, при этом доля отраслей экономики, оказывающих услуги, вырастет с 48,9% в 2016 году до 49,3% - в 2018 году. Рост сферы услуг будет поддержан ростом внутреннего потребления, обусловленного ростом реальных денежных доходов населения на 6,6% в среднем в год, а также возобновлением внешнего спроса ввиду восстановления экономики стран - основных торговых партнеров.</w:t>
      </w:r>
    </w:p>
    <w:p>
      <w:pPr>
        <w:spacing w:after="60"/>
        <w:ind w:firstLine="567"/>
        <w:jc w:val="both"/>
      </w:pPr>
      <w:r>
        <w:rPr>
          <w:rFonts w:ascii="Arial" w:cs="Arial" w:eastAsia="Arial" w:hAnsi="Arial"/>
          <w:sz w:val="24"/>
          <w:szCs w:val="24"/>
        </w:rPr>
        <w:t xml:space="preserve">Политика в секторе услуг в 2017-2018 годах будет направлена на улучшение доступности жизненно необходимых услуг и интеграции в экономические связи ЕАЭС, включая услуги связи, транспорта, услуги микрофинансовых организаций, торговли и других.</w:t>
      </w:r>
    </w:p>
    <w:p>
      <w:pPr>
        <w:spacing w:after="60"/>
        <w:ind w:firstLine="567"/>
        <w:jc w:val="both"/>
      </w:pPr>
      <w:r>
        <w:rPr>
          <w:rFonts w:ascii="Arial" w:cs="Arial" w:eastAsia="Arial" w:hAnsi="Arial"/>
          <w:sz w:val="24"/>
          <w:szCs w:val="24"/>
        </w:rPr>
        <w:t xml:space="preserve">Рост услуг, в основном, будет обеспечен развитием рыночных видов услуг, средний рост которых составит 105,3% в год, с постепенным увеличением их доли в структуре сферы услуг почти до 78%.</w:t>
      </w:r>
    </w:p>
    <w:p>
      <w:pPr>
        <w:spacing w:after="60"/>
        <w:ind w:firstLine="567"/>
        <w:jc w:val="both"/>
      </w:pPr>
      <w:r>
        <w:rPr>
          <w:rFonts w:ascii="Arial" w:cs="Arial" w:eastAsia="Arial" w:hAnsi="Arial"/>
          <w:sz w:val="24"/>
          <w:szCs w:val="24"/>
        </w:rPr>
        <w:t xml:space="preserve">Рост сферы услуг будет обеспечен развитием торговли, услуг транспортной деятельности и хранения грузов, деятельности гостиниц и ресторанов.</w:t>
      </w:r>
    </w:p>
    <w:p>
      <w:pPr>
        <w:spacing w:after="60"/>
        <w:ind w:firstLine="567"/>
        <w:jc w:val="both"/>
      </w:pPr>
      <w:r>
        <w:rPr>
          <w:rFonts w:ascii="Arial" w:cs="Arial" w:eastAsia="Arial" w:hAnsi="Arial"/>
          <w:sz w:val="24"/>
          <w:szCs w:val="24"/>
        </w:rPr>
        <w:t xml:space="preserve">Среднегодовой темп реального роста оптовой и розничной торговли; ремонт автомобилей и мотоциклов прогнозируется на уровне 7,1%, а удельный вес увеличится в структуре сферы услуг с 33,9% в 2016 году до 36,5% - к 2018 году.</w:t>
      </w:r>
    </w:p>
    <w:p>
      <w:pPr>
        <w:spacing w:after="60"/>
        <w:ind w:firstLine="567"/>
        <w:jc w:val="both"/>
      </w:pPr>
      <w:r>
        <w:rPr>
          <w:rFonts w:ascii="Arial" w:cs="Arial" w:eastAsia="Arial" w:hAnsi="Arial"/>
          <w:sz w:val="24"/>
          <w:szCs w:val="24"/>
        </w:rPr>
        <w:t xml:space="preserve">Основные направления развития будут направлены на: (1) улучшение интеграции в торговые потоки ЕАЭС; (2) создание условий для улучшения конкурентоспособности на рынках ЕАЭС; (3) обеспечение для населения экономической доступности потребительского рынка в цивилизованных формах его организации; (4) повышение статуса и компетенции уполномоченных органов исполнительной власти и местного самоуправления в сфере торговли.</w:t>
      </w:r>
    </w:p>
    <w:p>
      <w:pPr>
        <w:spacing w:after="60"/>
        <w:ind w:firstLine="567"/>
        <w:jc w:val="both"/>
      </w:pPr>
      <w:r>
        <w:rPr>
          <w:rFonts w:ascii="Arial" w:cs="Arial" w:eastAsia="Arial" w:hAnsi="Arial"/>
          <w:sz w:val="24"/>
          <w:szCs w:val="24"/>
        </w:rPr>
        <w:t xml:space="preserve">Другим важным направлением развития рыночных услуг является развитие услуг транспортной деятельности и хранения грузов, где прогнозируется реальный рост на 6,4% в среднем за год, с удельным весом 13,8% в общем объеме услуг.</w:t>
      </w:r>
    </w:p>
    <w:p>
      <w:pPr>
        <w:spacing w:after="60"/>
        <w:ind w:firstLine="567"/>
        <w:jc w:val="both"/>
      </w:pPr>
      <w:r>
        <w:rPr>
          <w:rFonts w:ascii="Arial" w:cs="Arial" w:eastAsia="Arial" w:hAnsi="Arial"/>
          <w:sz w:val="24"/>
          <w:szCs w:val="24"/>
        </w:rPr>
        <w:t xml:space="preserve">Также, в сфере услуг основным направлением будет развитие туристской индустрии, сфокусированной на следующих приоритетных направлениях: (1) повышение эффективности государственного регулирования развития туристской индустрии; (2) содействие повышению качества и диверсификации туристских: услуг и продуктов.</w:t>
      </w:r>
    </w:p>
    <w:p>
      <w:pPr>
        <w:spacing w:after="60"/>
        <w:ind w:firstLine="567"/>
        <w:jc w:val="both"/>
      </w:pPr>
      <w:r>
        <w:rPr>
          <w:rFonts w:ascii="Arial" w:cs="Arial" w:eastAsia="Arial" w:hAnsi="Arial"/>
          <w:sz w:val="24"/>
          <w:szCs w:val="24"/>
        </w:rPr>
        <w:t xml:space="preserve">Рост нерыночных видов услуг в 2017-2018 годы составит 101,0% в среднем за год, сокращение государственных услуг за счет оптимизации государственных расходов позволит сократить долю нерыночных услуг почти на 1 процентный пункт за данный период.</w:t>
      </w:r>
    </w:p>
    <w:p>
      <w:pPr>
        <w:spacing w:after="60"/>
        <w:ind w:firstLine="567"/>
        <w:jc w:val="both"/>
      </w:pPr>
      <w:r>
        <w:rPr>
          <w:rFonts w:ascii="Arial" w:cs="Arial" w:eastAsia="Arial" w:hAnsi="Arial"/>
          <w:sz w:val="24"/>
          <w:szCs w:val="24"/>
        </w:rPr>
        <w:t xml:space="preserve">Прирост промышленного производства(21). В 2017-2018 годах прогнозируется в среднем за год на уровне 102,7%. При этом темпы роста производства без предприятий, разрабатывающих месторождение Кумтор, прогнозируются к 2018 году на уровне 109,4%. Рост промышленного производства прогнозируется за счет устойчивой работы действующих промышленных предприятий, возобновления простаивающих производств, наращивания объемов на месторождениях: Талды-Булак-Левобережный, Бозымчак, освоения и добычи руды на месторождениях Иштамберди, Жамгыр, Джеруй, выхода на проектную производственную мощность нефтеперерабатывающего завода в городе Кара-Балта. Будет введена мощность ферросплавного завода в городе Таш-Кумыр. Прогнозируется увеличение объемов обеспечения электроэнергией, газом, паром и кондиционированным воздухом на 5,0% в среднем в год, но при этом наращивание производства электроэнергии начнется в 2018 году в связи с планируемым вводом новых мощностей (2 агрегат Камбаратинской ГЭС-2 - около 100 МВт, строительством Верхне-Нарынского каскада ГЭС (4 ГЭС - Акбулунская, Нарын - 1, 2, 3) - около 240 МВт, реабилитацией Токтогульской и Атбашинской ГЭС). Реализация проектов "Повышение подотчетности и надежности электроснабжения" (ВБ), "Улучшение электроснабжения Аркинского массива Лейлекского района" (ИБР) позволит повысить эффективность работы энергетического сектора.</w:t>
      </w:r>
    </w:p>
    <w:p>
      <w:pPr>
        <w:spacing w:after="60"/>
        <w:ind w:firstLine="567"/>
        <w:jc w:val="both"/>
      </w:pPr>
      <w:r>
        <w:rPr>
          <w:rFonts w:ascii="Arial" w:cs="Arial" w:eastAsia="Arial" w:hAnsi="Arial"/>
          <w:sz w:val="24"/>
          <w:szCs w:val="24"/>
        </w:rPr>
        <w:t xml:space="preserve">Реализация Генеральной схемы газоснабжения - это масштабный проект, который существенно повысит надежность поставок газа потребителям. Всего в 2018 году поступление природного газа в Кыргызскую Республику прогнозируется в объеме 800 млн. м</w:t>
      </w:r>
      <w:r>
        <w:rPr>
          <w:rFonts w:ascii="Arial" w:cs="Arial" w:eastAsia="Arial" w:hAnsi="Arial"/>
          <w:sz w:val="24"/>
          <w:szCs w:val="24"/>
        </w:rPr>
        <w:t xml:space="preserve">3</w:t>
      </w:r>
      <w:r>
        <w:rPr>
          <w:rFonts w:ascii="Arial" w:cs="Arial" w:eastAsia="Arial" w:hAnsi="Arial"/>
          <w:sz w:val="24"/>
          <w:szCs w:val="24"/>
        </w:rPr>
        <w:t xml:space="preserve">, что на 33,3% больше по сравнению с 2015 годом, которое позволит увеличить объем услуг распределения газообразного топлива через системы газоснабжения. При этом, уровень газификации в стране к 2030 году вырастет с 22% до 60%.</w:t>
      </w:r>
    </w:p>
    <w:p>
      <w:pPr>
        <w:spacing w:after="60"/>
        <w:ind w:firstLine="567"/>
        <w:jc w:val="both"/>
      </w:pPr>
      <w:r>
        <w:rPr>
          <w:rFonts w:ascii="Arial" w:cs="Arial" w:eastAsia="Arial" w:hAnsi="Arial"/>
          <w:sz w:val="24"/>
          <w:szCs w:val="24"/>
        </w:rPr>
        <w:t xml:space="preserve">В 2017-2018 годах прогнозируется увеличение реальных темпов роста сельского хозяйства в среднем на 3,1% за счет принимаемых государством и частным сектором мер по увеличению урожайности растениеводства и увеличению продуктивности животноводства. Будут реализованы мероприятия для достижений реальных темпов роста сельскохозяйственной отрасли: 1) структурное изменение посевных площадей путем систематического увеличения посевов площадей тех культур, которые пользуются наибольшим спросом в государствах - членах ЕАЭС, за счет постепенного сокращения посевов пшеницы и масличных культур; 2) внедрение передовых технологий возделывания сельскохозяйственных культур, применение органических, минеральных и органоминеральных удобрений для увеличения объемов экспорта сельскохозяйственной продукции; 3) продолжение обеспечения фермеров необходимой сельхозтехникой на льготных кредитных условиях, путем закупок сельхозтехники по лизингу; 4) рациональное использование генофонда сельскохозяйственных животных и птиц, повышение эффективности селекционно-племенной работы и пунктов искусственного осеменения животных с использованием ценного генетического материала; 5) увеличение объемов заготовки всех видов кормов.</w:t>
      </w:r>
    </w:p>
    <w:p>
      <w:pPr>
        <w:spacing w:after="60"/>
        <w:ind w:firstLine="567"/>
        <w:jc w:val="both"/>
      </w:pPr>
      <w:r>
        <w:rPr>
          <w:rFonts w:ascii="Arial" w:cs="Arial" w:eastAsia="Arial" w:hAnsi="Arial"/>
          <w:sz w:val="24"/>
          <w:szCs w:val="24"/>
        </w:rPr>
        <w:t xml:space="preserve">В 2017-2018 годах приоритетными направлениями развития строительной отрасли будут: а) создание институциональной структуры, обеспечивающей разработку политики, направленной на поступательное увеличение экономической доступности для населения сейсмически безопасного комфортного жилья, при улучшении энергоэффективности и уменьшении эмиссии углерода зданиями; б) повышение потенциала профессионалов в области управления, проектирования, строительства и инновационных мероприятий, обеспечивающих снижение потребления энергии вводимых зданий к 2018 году на 30-40% по сравнению с современным состоянием.</w:t>
      </w:r>
    </w:p>
    <w:p>
      <w:pPr>
        <w:spacing w:after="60"/>
        <w:ind w:firstLine="567"/>
        <w:jc w:val="both"/>
      </w:pPr>
      <w:r>
        <w:rPr>
          <w:rFonts w:ascii="Arial" w:cs="Arial" w:eastAsia="Arial" w:hAnsi="Arial"/>
          <w:sz w:val="24"/>
          <w:szCs w:val="24"/>
        </w:rPr>
        <w:t xml:space="preserve">Для реализации этих направлений будут приняты такие основные меры, как: создание в строительном секторе системы реализации политики и управления практикой энергоэффективности, сейсмической безопасности и экономической доступности жилья для населения; разработка механизмов введения жестких санкций за несоблюдение норм и стандартов сейсмостойкости и энергоэффективности; разработка и введение в действие учебной программы "Строительный сектор для устойчивого развития" в системе повышения квалификации специалистов государственного управления в строительстве и т.д.</w:t>
      </w:r>
    </w:p>
    <w:p>
      <w:pPr>
        <w:spacing w:after="60"/>
        <w:ind w:firstLine="567"/>
        <w:jc w:val="both"/>
      </w:pPr>
      <w:r>
        <w:rPr>
          <w:rFonts w:ascii="Arial" w:cs="Arial" w:eastAsia="Arial" w:hAnsi="Arial"/>
          <w:sz w:val="24"/>
          <w:szCs w:val="24"/>
        </w:rPr>
        <w:t xml:space="preserve">В 2017-2018 годах расходы на капитальные вложения в приоритетном порядке будут направлены на строительство и реконструкцию объектов социального значения, а также строительство и реконструкцию автодорог в республике.</w:t>
      </w:r>
    </w:p>
    <w:p>
      <w:pPr>
        <w:spacing w:after="60"/>
        <w:ind w:firstLine="567"/>
        <w:jc w:val="both"/>
      </w:pPr>
      <w:r>
        <w:rPr>
          <w:rFonts w:ascii="Arial" w:cs="Arial" w:eastAsia="Arial" w:hAnsi="Arial"/>
          <w:sz w:val="24"/>
          <w:szCs w:val="24"/>
        </w:rPr>
        <w:t xml:space="preserve">Общий объем капитальных вложений из всех источников финансирования в 2017-2018 годах возрастет в среднем на 10,8% (с 180,2 млрд. сомов в 2017 году до 217,1 млрд. сомов - в 2018 году). Структура капитальных вложений, относительно прогнозируемой, в 2016 году останется на том уровне, при котором доля внешних инвестиций составит 45,1% от общего объема капитальных вложений, которая связана с привлечением иностранных кредитов на объекты строительства энергетики и осуществление реконструкции автомобильных дорог.</w:t>
      </w:r>
    </w:p>
    <w:p>
      <w:pPr>
        <w:spacing w:after="60"/>
        <w:ind w:firstLine="567"/>
        <w:jc w:val="both"/>
      </w:pPr>
      <w:r>
        <w:rPr>
          <w:rFonts w:ascii="Arial" w:cs="Arial" w:eastAsia="Arial" w:hAnsi="Arial"/>
          <w:sz w:val="24"/>
          <w:szCs w:val="24"/>
        </w:rPr>
        <w:t xml:space="preserve">Прогнозируется, что строительный сектор экономики будет одним из значимых направлений, обеспечивающих устойчивый рост национальной экономики в среднесрочной перспективе. Темп реального прироста в этом секторе составит 10,9% в среднем за год. Влияние строительного сектора на темпы экономического роста будет положительным и составит в среднем 0,95 процентного пункта.</w:t>
      </w:r>
    </w:p>
    <w:p>
      <w:pPr>
        <w:spacing w:after="60"/>
        <w:ind w:firstLine="567"/>
        <w:jc w:val="both"/>
      </w:pPr>
      <w:r>
        <w:rPr>
          <w:rFonts w:ascii="Arial" w:cs="Arial" w:eastAsia="Arial" w:hAnsi="Arial"/>
          <w:sz w:val="24"/>
          <w:szCs w:val="24"/>
        </w:rPr>
        <w:t xml:space="preserve">Проводимая государством политика в области привлечения инвестиций позволит увеличить уровень частных инвестиций до 30% к ВВП в 2018 году. Валовые инвестиции в экономику увеличатся до 35,8% к ВВП в 2018 году, что будет способствовать экономическому росту в среднем на 4,4% в 2017-2018 годах.</w:t>
      </w:r>
    </w:p>
    <w:p>
      <w:pPr>
        <w:spacing w:after="60"/>
        <w:ind w:firstLine="567"/>
        <w:jc w:val="both"/>
      </w:pPr>
      <w:r>
        <w:rPr>
          <w:rFonts w:ascii="Arial" w:cs="Arial" w:eastAsia="Arial" w:hAnsi="Arial"/>
          <w:sz w:val="24"/>
          <w:szCs w:val="24"/>
        </w:rPr>
        <w:t xml:space="preserve">Прогнозируется увеличение доли частного потребления с 98,8% к ВВП в 2016 году до 99,4% - в 2018 году, обусловленное ростом денежных доходов в номинальном выражении на 15,2% в среднем в год.</w:t>
      </w:r>
    </w:p>
    <w:p>
      <w:pPr>
        <w:spacing w:after="60" w:before="120"/>
        <w:ind w:firstLine="567"/>
        <w:jc w:val="right"/>
      </w:pPr>
      <w:r>
        <w:rPr>
          <w:rFonts w:ascii="Arial" w:cs="Arial" w:eastAsia="Arial" w:hAnsi="Arial"/>
          <w:sz w:val="24"/>
          <w:szCs w:val="24"/>
        </w:rPr>
        <w:t xml:space="preserve">Таблица 15</w:t>
      </w:r>
    </w:p>
    <w:p>
      <w:pPr>
        <w:spacing w:after="200" w:before="200"/>
        <w:jc w:val="center"/>
      </w:pPr>
      <w:r>
        <w:rPr>
          <w:rFonts w:ascii="Arial" w:cs="Arial" w:eastAsia="Arial" w:hAnsi="Arial"/>
          <w:b/>
          <w:bCs/>
          <w:sz w:val="32"/>
          <w:szCs w:val="32"/>
        </w:rPr>
        <w:t xml:space="preserve">Использование ВВП в 2017-2018 годах,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33"/>
        <w:gridCol w:w="1722"/>
        <w:gridCol w:w="1722"/>
      </w:tblGrid>
      <w:tr>
        <w:tc>
          <w:tcPr>
            <w:tcW w:type="dxa" w:w="673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7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17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r>
      <w:tr>
        <w:tc>
          <w:tcPr>
            <w:vMerge w:val="continue"/>
            <w:tcBorders>
              <w:top w:val="single" w:color="CBBF9E" w:sz="4"/>
              <w:left w:val="single" w:color="CBBF9E" w:sz="4"/>
              <w:bottom w:val="single" w:color="CBBF9E" w:sz="4"/>
              <w:right w:val="single" w:color="CBBF9E" w:sz="4"/>
            </w:tcBorders>
          </w:tcP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6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в рыночных ценах</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6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115,2</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w:t>
            </w:r>
          </w:p>
        </w:tc>
      </w:tr>
      <w:tr>
        <w:tc>
          <w:tcPr>
            <w:tcW w:type="dxa" w:w="6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w:t>
            </w:r>
          </w:p>
        </w:tc>
      </w:tr>
      <w:tr>
        <w:tc>
          <w:tcPr>
            <w:tcW w:type="dxa" w:w="6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r>
      <w:tr>
        <w:tc>
          <w:tcPr>
            <w:tcW w:type="dxa" w:w="6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w:t>
            </w:r>
          </w:p>
        </w:tc>
      </w:tr>
      <w:tr>
        <w:tc>
          <w:tcPr>
            <w:tcW w:type="dxa" w:w="6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r>
      <w:tr>
        <w:tc>
          <w:tcPr>
            <w:tcW w:type="dxa" w:w="6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ПГИ (внешние)</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r>
      <w:tr>
        <w:tc>
          <w:tcPr>
            <w:tcW w:type="dxa" w:w="6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r>
      <w:tr>
        <w:tc>
          <w:tcPr>
            <w:tcW w:type="dxa" w:w="6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(товары и нефакторные услуги)</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w:t>
            </w:r>
          </w:p>
        </w:tc>
      </w:tr>
      <w:tr>
        <w:tc>
          <w:tcPr>
            <w:tcW w:type="dxa" w:w="6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(товары и нефакторные услуги)</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81,5</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80,9</w:t>
            </w:r>
          </w:p>
        </w:tc>
      </w:tr>
      <w:tr>
        <w:tc>
          <w:tcPr>
            <w:tcW w:type="dxa" w:w="6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w:t>
            </w:r>
          </w:p>
        </w:tc>
      </w:tr>
    </w:tbl>
    <w:p>
      <w:pPr>
        <w:spacing w:after="60" w:before="120"/>
        <w:ind w:firstLine="567"/>
        <w:jc w:val="both"/>
      </w:pPr>
      <w:r>
        <w:rPr>
          <w:rFonts w:ascii="Arial" w:cs="Arial" w:eastAsia="Arial" w:hAnsi="Arial"/>
          <w:sz w:val="24"/>
          <w:szCs w:val="24"/>
        </w:rPr>
        <w:t xml:space="preserve">Основными факторами, влияющими на развитие внешнеэкономической деятельности в среднесрочном периоде, будут: (а) благоприятное географическое положение Кыргызской Республики по соседству с такими странами, как Российская Федерация, Республика Казахстан, Республика Узбекистан и Китайская Народная Республика, рынки которых могут обеспечить рост экспортного потенциала Кыргызской Республики; (б) политическая стабильность в соседних государствах; в) активное использование членства Кыргызской Республики в ЕАЭС, ВТО; (г) расширение внешнеэкономического сотрудничества в рамках Шанхайской организации сотрудничества, СНГ; е) углубление сотрудничества с международными экономическими и финансовыми организациями.</w:t>
      </w:r>
    </w:p>
    <w:p>
      <w:pPr>
        <w:spacing w:after="60"/>
        <w:ind w:firstLine="567"/>
        <w:jc w:val="both"/>
      </w:pPr>
      <w:r>
        <w:rPr>
          <w:rFonts w:ascii="Arial" w:cs="Arial" w:eastAsia="Arial" w:hAnsi="Arial"/>
          <w:sz w:val="24"/>
          <w:szCs w:val="24"/>
        </w:rPr>
        <w:t xml:space="preserve">Объем внешнеторгового оборота в 2017-2018 годы будет расти в среднем на 2,6% ежегодно и достигнет уровня 8,3 млрд. долл. США в 2018 году.</w:t>
      </w:r>
    </w:p>
    <w:p>
      <w:pPr>
        <w:spacing w:after="60"/>
        <w:ind w:firstLine="567"/>
        <w:jc w:val="both"/>
      </w:pPr>
      <w:r>
        <w:rPr>
          <w:rFonts w:ascii="Arial" w:cs="Arial" w:eastAsia="Arial" w:hAnsi="Arial"/>
          <w:sz w:val="24"/>
          <w:szCs w:val="24"/>
        </w:rPr>
        <w:t xml:space="preserve">Прогнозируется, что номинальный объем экспорта увеличится до 2,1 млрд. долл. США и вырастет по сравнению с 2017 годом на 5,0%. Сдерживание роста экспорта будет обусловлено снижением объемов экспортных поставок золота на 0,6%, ввиду снижения уровня производства золота на месторождениях золота. Рост экспорта, без учета золота, в среднем составит 2,5%, что будет обусловлено ростом экспортных поставок продукции сельскохозяйственного происхождения (овощи и фрукты - на 4,0% в среднем за год), строительных материалов (стекло листовое - в среднем на 6,2%) и предметов одежды и их принадлежностей (на 2,4% в среднем за год).</w:t>
      </w:r>
    </w:p>
    <w:p>
      <w:pPr>
        <w:spacing w:after="60"/>
        <w:ind w:firstLine="567"/>
        <w:jc w:val="both"/>
      </w:pPr>
      <w:r>
        <w:rPr>
          <w:rFonts w:ascii="Arial" w:cs="Arial" w:eastAsia="Arial" w:hAnsi="Arial"/>
          <w:sz w:val="24"/>
          <w:szCs w:val="24"/>
        </w:rPr>
        <w:t xml:space="preserve">Увеличение импортных поступлений в страну прогнозируется на 2,5% в среднем в год и достигнет уровня 6,2 млрд. долл. США в 2018 году. Рост импорта будет обусловлен увеличением объема ввоза нефтепродуктов, уровень которого по отношению к 2017 году составит 102,9%, электрических машин, оборудования и аппаратуры - на 1,5%, природного газа - на 14,3%, машин и оборудования для промышленности - на 2,6%.</w:t>
      </w:r>
    </w:p>
    <w:p>
      <w:pPr>
        <w:spacing w:after="60"/>
        <w:ind w:firstLine="567"/>
        <w:jc w:val="both"/>
      </w:pPr>
      <w:r>
        <w:rPr>
          <w:rFonts w:ascii="Arial" w:cs="Arial" w:eastAsia="Arial" w:hAnsi="Arial"/>
          <w:sz w:val="24"/>
          <w:szCs w:val="24"/>
        </w:rPr>
        <w:t xml:space="preserve">В результате отрицательное сальдо торгового баланса ухудшится с 3,9 млрд. долл. США в 2016 году до 4,1 млрд. долл. США в 2018 году.</w:t>
      </w:r>
    </w:p>
    <w:p>
      <w:pPr>
        <w:spacing w:after="60"/>
        <w:ind w:firstLine="567"/>
        <w:jc w:val="both"/>
      </w:pPr>
      <w:r>
        <w:rPr>
          <w:rFonts w:ascii="Arial" w:cs="Arial" w:eastAsia="Arial" w:hAnsi="Arial"/>
          <w:sz w:val="24"/>
          <w:szCs w:val="24"/>
        </w:rPr>
        <w:t xml:space="preserve">Отрицательное сальдо чистого экспорта товаров и услуг к ВВП улучшится с (-)50,6% в 2017 году до (-)50,3% - в 2018 году.</w:t>
      </w:r>
    </w:p>
    <w:p>
      <w:pPr>
        <w:spacing w:after="60"/>
        <w:ind w:firstLine="567"/>
        <w:jc w:val="both"/>
      </w:pPr>
      <w:r>
        <w:rPr>
          <w:rFonts w:ascii="Arial" w:cs="Arial" w:eastAsia="Arial" w:hAnsi="Arial"/>
          <w:sz w:val="24"/>
          <w:szCs w:val="24"/>
        </w:rPr>
        <w:t xml:space="preserve">Политика социального развития в 2017-2018 годах, как и прежде, будет направлена, в первую очередь, на выполнение в полном объеме гарантированных социальных обязательств государства, повышение уровня жизни населения и улучшение положения социально незащищенных категорий граждан и снижение масштабов бедности, с учетом современных требований и возможностей государства.</w:t>
      </w:r>
    </w:p>
    <w:p>
      <w:pPr>
        <w:spacing w:after="60"/>
        <w:ind w:firstLine="567"/>
        <w:jc w:val="both"/>
      </w:pPr>
      <w:r>
        <w:rPr>
          <w:rFonts w:ascii="Arial" w:cs="Arial" w:eastAsia="Arial" w:hAnsi="Arial"/>
          <w:sz w:val="24"/>
          <w:szCs w:val="24"/>
        </w:rPr>
        <w:t xml:space="preserve">Политика занятости и миграции населения будет направлена на упорядочение миграционных процессов и создание условий цивилизованного развития внешней трудовой миграции, защиту прав мигрантов в стране пребывания и повышение конкурентоспособности экономически активного населения.</w:t>
      </w:r>
    </w:p>
    <w:p>
      <w:pPr>
        <w:spacing w:after="60"/>
        <w:ind w:firstLine="567"/>
        <w:jc w:val="both"/>
      </w:pPr>
      <w:r>
        <w:rPr>
          <w:rFonts w:ascii="Arial" w:cs="Arial" w:eastAsia="Arial" w:hAnsi="Arial"/>
          <w:sz w:val="24"/>
          <w:szCs w:val="24"/>
        </w:rPr>
        <w:t xml:space="preserve">Исходя из прогнозируемых макроэкономических параметров социальные показатели в 2017-2018 годах, будут складываться следующим образом.</w:t>
      </w:r>
    </w:p>
    <w:p>
      <w:pPr>
        <w:spacing w:after="60"/>
        <w:ind w:firstLine="567"/>
        <w:jc w:val="both"/>
      </w:pPr>
      <w:r>
        <w:rPr>
          <w:rFonts w:ascii="Arial" w:cs="Arial" w:eastAsia="Arial" w:hAnsi="Arial"/>
          <w:sz w:val="24"/>
          <w:szCs w:val="24"/>
        </w:rPr>
        <w:t xml:space="preserve">Реальный рост денежных доходов населения в 2017-2018 годах прогнозируется в среднем на уровне 6,6%, что будет способствовать росту частного потребления на 4,2% в среднем за год. В прогнозируемом периоде доля государственного потребления сократится на 1,0 процентного пункта по сравнению с 2016 годом и составит в 2018 году 15,1% к ВВП.</w:t>
      </w:r>
    </w:p>
    <w:p>
      <w:pPr>
        <w:spacing w:after="60"/>
        <w:ind w:firstLine="567"/>
        <w:jc w:val="both"/>
      </w:pPr>
      <w:r>
        <w:rPr>
          <w:rFonts w:ascii="Arial" w:cs="Arial" w:eastAsia="Arial" w:hAnsi="Arial"/>
          <w:sz w:val="24"/>
          <w:szCs w:val="24"/>
        </w:rPr>
        <w:t xml:space="preserve">Рост номинального размера средней заработной платы прогнозируется в среднем на 9,6% и составит в 2018 году 17900,0 сомов.</w:t>
      </w:r>
    </w:p>
    <w:p>
      <w:pPr>
        <w:spacing w:after="60"/>
        <w:ind w:firstLine="567"/>
        <w:jc w:val="both"/>
      </w:pPr>
      <w:r>
        <w:rPr>
          <w:rFonts w:ascii="Arial" w:cs="Arial" w:eastAsia="Arial" w:hAnsi="Arial"/>
          <w:sz w:val="24"/>
          <w:szCs w:val="24"/>
        </w:rPr>
        <w:t xml:space="preserve">Прогнозируется рост прожиточного минимума (ПМ) с 5762,1 сома в 2016 году до 6727,0 сома - в 2018 году. Коэффициент отношения СЗП к ПМ на взрослое население трудоспособного возраста сложится на уровне 2,4 к 2018 году.</w:t>
      </w:r>
    </w:p>
    <w:p>
      <w:pPr>
        <w:spacing w:after="60"/>
        <w:ind w:firstLine="567"/>
        <w:jc w:val="both"/>
      </w:pPr>
      <w:r>
        <w:rPr>
          <w:rFonts w:ascii="Arial" w:cs="Arial" w:eastAsia="Arial" w:hAnsi="Arial"/>
          <w:sz w:val="24"/>
          <w:szCs w:val="24"/>
        </w:rPr>
        <w:t xml:space="preserve">Прогнозируется увеличение номинального размера пенсии относительно 2016 года на 11,6% и составит в 2018 году 5542,0 сома.</w:t>
      </w:r>
    </w:p>
    <w:p>
      <w:pPr>
        <w:spacing w:after="60"/>
        <w:ind w:firstLine="567"/>
        <w:jc w:val="both"/>
      </w:pPr>
      <w:r>
        <w:rPr>
          <w:rFonts w:ascii="Arial" w:cs="Arial" w:eastAsia="Arial" w:hAnsi="Arial"/>
          <w:sz w:val="24"/>
          <w:szCs w:val="24"/>
        </w:rPr>
        <w:t xml:space="preserve">Прогнозируется снижение уровня общей безработицы к 2018 году до 7,7%, относительно 8,0%, фактически сложившегося уровня в 2014 году.</w:t>
      </w:r>
    </w:p>
    <w:p>
      <w:pPr>
        <w:spacing w:after="60"/>
        <w:ind w:firstLine="567"/>
        <w:jc w:val="both"/>
      </w:pPr>
      <w:r>
        <w:rPr>
          <w:rFonts w:ascii="Arial" w:cs="Arial" w:eastAsia="Arial" w:hAnsi="Arial"/>
          <w:sz w:val="24"/>
          <w:szCs w:val="24"/>
        </w:rPr>
        <w:t xml:space="preserve">Уровень бедности к 2018 году прогнозируется на уровне 28,5% и снизится на 2,0 процентных пункта по сравнению с 2016 годом.</w:t>
      </w:r>
    </w:p>
    <w:p>
      <w:pPr>
        <w:spacing w:after="200" w:before="200"/>
        <w:jc w:val="center"/>
      </w:pPr>
      <w:r>
        <w:rPr>
          <w:rFonts w:ascii="Arial" w:cs="Arial" w:eastAsia="Arial" w:hAnsi="Arial"/>
          <w:b/>
          <w:bCs/>
          <w:sz w:val="32"/>
          <w:szCs w:val="32"/>
        </w:rPr>
        <w:t xml:space="preserve">VII. Заключение</w:t>
      </w:r>
    </w:p>
    <w:p>
      <w:pPr>
        <w:spacing w:after="60"/>
        <w:ind w:firstLine="567"/>
        <w:jc w:val="both"/>
      </w:pPr>
      <w:r>
        <w:rPr>
          <w:rFonts w:ascii="Arial" w:cs="Arial" w:eastAsia="Arial" w:hAnsi="Arial"/>
          <w:sz w:val="24"/>
          <w:szCs w:val="24"/>
        </w:rPr>
        <w:t xml:space="preserve">Важным условием выполнения прогнозируемых целевых показателей для устойчивого развития экономики Кыргызской Республики является сохранение политической стабильности как основы для проведения макроэкономической политики, а также минимизация влияющих на экономику внешних и внутренних шоков.</w:t>
      </w:r>
    </w:p>
    <w:p>
      <w:pPr>
        <w:spacing w:after="60"/>
        <w:ind w:firstLine="567"/>
        <w:jc w:val="both"/>
      </w:pPr>
      <w:r>
        <w:rPr>
          <w:rFonts w:ascii="Arial" w:cs="Arial" w:eastAsia="Arial" w:hAnsi="Arial"/>
          <w:sz w:val="24"/>
          <w:szCs w:val="24"/>
        </w:rPr>
        <w:t xml:space="preserve">Целевые макроэкономические показатели будут достигаться через реализацию крупных национальных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 Сохранение благоприятного инвестиционного климата, гибкая регуляторная политика в сфере предпринимательства, предсказуемость и стабильность законодательства будут способствовать экономическому росту.</w:t>
      </w:r>
    </w:p>
    <w:p>
      <w:pPr>
        <w:spacing w:after="60"/>
        <w:ind w:firstLine="567"/>
        <w:jc w:val="both"/>
      </w:pPr>
      <w:r>
        <w:rPr>
          <w:rFonts w:ascii="Arial" w:cs="Arial" w:eastAsia="Arial" w:hAnsi="Arial"/>
          <w:sz w:val="24"/>
          <w:szCs w:val="24"/>
        </w:rPr>
        <w:t xml:space="preserve">Экономический рост будет поддерживаться со стороны всех секторов реальной экономики, формирующих ВВП страны.</w:t>
      </w:r>
    </w:p>
    <w:p>
      <w:pPr>
        <w:spacing w:after="60"/>
        <w:ind w:firstLine="567"/>
        <w:jc w:val="both"/>
      </w:pPr>
      <w:r>
        <w:rPr>
          <w:rFonts w:ascii="Arial" w:cs="Arial" w:eastAsia="Arial" w:hAnsi="Arial"/>
          <w:sz w:val="24"/>
          <w:szCs w:val="24"/>
        </w:rPr>
        <w:t xml:space="preserve">На основании данных мониторинга и анализа социально-экономического развития Кыргызской Республики будут периодически детально анализироваться достигнутый прогресс, определяться "слабые места" и на основании полученных результатов оперативно пересматриваться прогнозные значения показателей.</w:t>
      </w:r>
    </w:p>
    <w:p>
      <w:pPr>
        <w:spacing w:after="60"/>
        <w:ind w:firstLine="567"/>
        <w:jc w:val="both"/>
      </w:pPr>
      <w:r>
        <w:rPr>
          <w:rFonts w:ascii="Arial" w:cs="Arial" w:eastAsia="Arial" w:hAnsi="Arial"/>
          <w:sz w:val="24"/>
          <w:szCs w:val="24"/>
        </w:rPr>
        <w:t xml:space="preserve">Правительством Кыргызской Республики, при необходимости, будет разработана система мер, направленных на смягчение возможного шокового воздействия на экономику негативных процессов, связанных с ухудшением мировой конъюнктуры, и возникающих внутренних неблагоприятных условий.</w:t>
      </w:r>
    </w:p>
    <w:p>
      <w:pPr>
        <w:spacing w:after="60"/>
        <w:ind w:firstLine="567"/>
        <w:jc w:val="both"/>
      </w:pPr>
      <w:r>
        <w:rPr>
          <w:rFonts w:ascii="Arial" w:cs="Arial" w:eastAsia="Arial" w:hAnsi="Arial"/>
          <w:sz w:val="24"/>
          <w:szCs w:val="24"/>
        </w:rPr>
        <w:t xml:space="preserve">Перечень показателей прогноза социально-экономического развития Кыргызской Республики определен в приложениях </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15</w:t>
      </w:r>
      <w:r>
        <w:rPr>
          <w:rFonts w:ascii="Arial" w:cs="Arial" w:eastAsia="Arial" w:hAnsi="Arial"/>
          <w:sz w:val="24"/>
          <w:szCs w:val="24"/>
        </w:rPr>
        <w:t xml:space="preserve"> к настоящему Прогнозу социально-экономического развития Кыргызской Республики на 2016 год и 2017-2018 годы.</w:t>
      </w:r>
    </w:p>
    <w:p>
      <w:pPr>
        <w:spacing w:after="60"/>
        <w:ind w:firstLine="567"/>
        <w:jc w:val="both"/>
      </w:pPr>
      <w:r>
        <w:rPr>
          <w:rFonts w:ascii="Arial" w:cs="Arial" w:eastAsia="Arial" w:hAnsi="Arial"/>
          <w:sz w:val="24"/>
          <w:szCs w:val="24"/>
        </w:rPr>
        <w:t xml:space="preserve">_______________</w:t>
      </w:r>
    </w:p>
    <w:p>
      <w:pPr>
        <w:spacing w:after="6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(1) Показатели приведены по валовой добавленной стоимости.</w:t>
      </w:r>
    </w:p>
    <w:p>
      <w:pPr>
        <w:spacing w:after="60"/>
        <w:ind w:firstLine="567"/>
        <w:jc w:val="both"/>
      </w:pPr>
      <w:r>
        <w:rPr>
          <w:rFonts w:ascii="Arial" w:cs="Arial" w:eastAsia="Arial" w:hAnsi="Arial"/>
          <w:sz w:val="24"/>
          <w:szCs w:val="24"/>
        </w:rPr>
        <w:t xml:space="preserve">(2) По данным аналитического баланса банковской системы, кредит в экономику включает в себя только кредиты физических и юридических лиц и других финансово-кредитных учреждений, при этом исключается кредит Правительству и нерезидентам.</w:t>
      </w:r>
    </w:p>
    <w:p>
      <w:pPr>
        <w:spacing w:after="60"/>
        <w:ind w:firstLine="567"/>
        <w:jc w:val="both"/>
      </w:pPr>
      <w:r>
        <w:rPr>
          <w:rFonts w:ascii="Arial" w:cs="Arial" w:eastAsia="Arial" w:hAnsi="Arial"/>
          <w:sz w:val="24"/>
          <w:szCs w:val="24"/>
        </w:rPr>
        <w:t xml:space="preserve">(3) Темпы прироста приведены по ВДС.</w:t>
      </w:r>
    </w:p>
    <w:p>
      <w:pPr>
        <w:spacing w:after="60"/>
        <w:ind w:firstLine="567"/>
        <w:jc w:val="both"/>
      </w:pPr>
      <w:r>
        <w:rPr>
          <w:rFonts w:ascii="Arial" w:cs="Arial" w:eastAsia="Arial" w:hAnsi="Arial"/>
          <w:sz w:val="24"/>
          <w:szCs w:val="24"/>
        </w:rPr>
        <w:t xml:space="preserve">(4) Без учета депозитов банков и других финансово-кредитных учреждений.</w:t>
      </w:r>
    </w:p>
    <w:p>
      <w:pPr>
        <w:spacing w:after="60"/>
        <w:ind w:firstLine="567"/>
        <w:jc w:val="both"/>
      </w:pPr>
      <w:r>
        <w:rPr>
          <w:rFonts w:ascii="Arial" w:cs="Arial" w:eastAsia="Arial" w:hAnsi="Arial"/>
          <w:sz w:val="24"/>
          <w:szCs w:val="24"/>
        </w:rPr>
        <w:t xml:space="preserve">(5) Без учета кредитов, предоставленных банкам и другим финансово-кредитным учреждениям.</w:t>
      </w:r>
    </w:p>
    <w:p>
      <w:pPr>
        <w:spacing w:after="60"/>
        <w:ind w:firstLine="567"/>
        <w:jc w:val="both"/>
      </w:pPr>
      <w:r>
        <w:rPr>
          <w:rFonts w:ascii="Arial" w:cs="Arial" w:eastAsia="Arial" w:hAnsi="Arial"/>
          <w:sz w:val="24"/>
          <w:szCs w:val="24"/>
        </w:rPr>
        <w:t xml:space="preserve">(6) Прогноз Международного валютного фонда в апреле 2015 года.</w:t>
      </w:r>
    </w:p>
    <w:p>
      <w:pPr>
        <w:spacing w:after="60"/>
        <w:ind w:firstLine="567"/>
        <w:jc w:val="both"/>
      </w:pPr>
      <w:r>
        <w:rPr>
          <w:rFonts w:ascii="Arial" w:cs="Arial" w:eastAsia="Arial" w:hAnsi="Arial"/>
          <w:sz w:val="24"/>
          <w:szCs w:val="24"/>
        </w:rPr>
        <w:t xml:space="preserve">(7) Прогноз Международного валютного фонда в июле 2015 года.</w:t>
      </w:r>
    </w:p>
    <w:p>
      <w:pPr>
        <w:spacing w:after="60"/>
        <w:ind w:firstLine="567"/>
        <w:jc w:val="both"/>
      </w:pPr>
      <w:r>
        <w:rPr>
          <w:rFonts w:ascii="Arial" w:cs="Arial" w:eastAsia="Arial" w:hAnsi="Arial"/>
          <w:sz w:val="24"/>
          <w:szCs w:val="24"/>
        </w:rPr>
        <w:t xml:space="preserve">(8) Прогноз Министерства экономического развития Российской Федерации от 16 февраля 2015 года.</w:t>
      </w:r>
    </w:p>
    <w:p>
      <w:pPr>
        <w:spacing w:after="60"/>
        <w:ind w:firstLine="567"/>
        <w:jc w:val="both"/>
      </w:pPr>
      <w:r>
        <w:rPr>
          <w:rFonts w:ascii="Arial" w:cs="Arial" w:eastAsia="Arial" w:hAnsi="Arial"/>
          <w:sz w:val="24"/>
          <w:szCs w:val="24"/>
        </w:rPr>
        <w:t xml:space="preserve">(9) Прогноз Министерства экономического развития Российской Федерации от 28 мая 2015 года.</w:t>
      </w:r>
    </w:p>
    <w:p>
      <w:pPr>
        <w:spacing w:after="60"/>
        <w:ind w:firstLine="567"/>
        <w:jc w:val="both"/>
      </w:pPr>
      <w:r>
        <w:rPr>
          <w:rFonts w:ascii="Arial" w:cs="Arial" w:eastAsia="Arial" w:hAnsi="Arial"/>
          <w:sz w:val="24"/>
          <w:szCs w:val="24"/>
        </w:rPr>
        <w:t xml:space="preserve">(10) Прогноз Министерства национальной экономики Республики Казахстан от 17 февраля 2015 года.</w:t>
      </w:r>
    </w:p>
    <w:p>
      <w:pPr>
        <w:spacing w:after="60"/>
        <w:ind w:firstLine="567"/>
        <w:jc w:val="both"/>
      </w:pPr>
      <w:r>
        <w:rPr>
          <w:rFonts w:ascii="Arial" w:cs="Arial" w:eastAsia="Arial" w:hAnsi="Arial"/>
          <w:sz w:val="24"/>
          <w:szCs w:val="24"/>
        </w:rPr>
        <w:t xml:space="preserve">(11) Прогноз Министерства экономики Республики Беларусь от 23 января 2015 года.</w:t>
      </w:r>
    </w:p>
    <w:p>
      <w:pPr>
        <w:spacing w:after="60"/>
        <w:ind w:firstLine="567"/>
        <w:jc w:val="both"/>
      </w:pPr>
      <w:r>
        <w:rPr>
          <w:rFonts w:ascii="Arial" w:cs="Arial" w:eastAsia="Arial" w:hAnsi="Arial"/>
          <w:sz w:val="24"/>
          <w:szCs w:val="24"/>
        </w:rPr>
        <w:t xml:space="preserve">(12) Прогноз Евразийской экономической комиссии от 11 июня 2015 года.</w:t>
      </w:r>
    </w:p>
    <w:p>
      <w:pPr>
        <w:spacing w:after="60"/>
        <w:ind w:firstLine="567"/>
        <w:jc w:val="both"/>
      </w:pPr>
      <w:r>
        <w:rPr>
          <w:rFonts w:ascii="Arial" w:cs="Arial" w:eastAsia="Arial" w:hAnsi="Arial"/>
          <w:sz w:val="24"/>
          <w:szCs w:val="24"/>
        </w:rPr>
        <w:t xml:space="preserve">(13) Темпы прироста приведены по ВДС.</w:t>
      </w:r>
    </w:p>
    <w:p>
      <w:pPr>
        <w:spacing w:after="60"/>
        <w:ind w:firstLine="567"/>
        <w:jc w:val="both"/>
      </w:pPr>
      <w:r>
        <w:rPr>
          <w:rFonts w:ascii="Arial" w:cs="Arial" w:eastAsia="Arial" w:hAnsi="Arial"/>
          <w:sz w:val="24"/>
          <w:szCs w:val="24"/>
        </w:rPr>
        <w:t xml:space="preserve">(14) Без учета стоимости переработанного давальческого сырья.</w:t>
      </w:r>
    </w:p>
    <w:p>
      <w:pPr>
        <w:spacing w:after="60"/>
        <w:ind w:firstLine="567"/>
        <w:jc w:val="both"/>
      </w:pPr>
      <w:r>
        <w:rPr>
          <w:rFonts w:ascii="Arial" w:cs="Arial" w:eastAsia="Arial" w:hAnsi="Arial"/>
          <w:sz w:val="24"/>
          <w:szCs w:val="24"/>
        </w:rPr>
        <w:t xml:space="preserve">(15) По данным Министерства экономического развития Российской Федерации от 22 апреля 2015 года.</w:t>
      </w:r>
    </w:p>
    <w:p>
      <w:pPr>
        <w:spacing w:after="60"/>
        <w:ind w:firstLine="567"/>
        <w:jc w:val="both"/>
      </w:pPr>
      <w:r>
        <w:rPr>
          <w:rFonts w:ascii="Arial" w:cs="Arial" w:eastAsia="Arial" w:hAnsi="Arial"/>
          <w:sz w:val="24"/>
          <w:szCs w:val="24"/>
        </w:rPr>
        <w:t xml:space="preserve">(16) Прогноз Евразийской экономической комиссии от 11 июня 2015 года.</w:t>
      </w:r>
    </w:p>
    <w:p>
      <w:pPr>
        <w:spacing w:after="60"/>
        <w:ind w:firstLine="567"/>
        <w:jc w:val="both"/>
      </w:pPr>
      <w:r>
        <w:rPr>
          <w:rFonts w:ascii="Arial" w:cs="Arial" w:eastAsia="Arial" w:hAnsi="Arial"/>
          <w:sz w:val="24"/>
          <w:szCs w:val="24"/>
        </w:rPr>
        <w:t xml:space="preserve">(17) По данным Международного валютного фонда.</w:t>
      </w:r>
    </w:p>
    <w:p>
      <w:pPr>
        <w:spacing w:after="60"/>
        <w:ind w:firstLine="567"/>
        <w:jc w:val="both"/>
      </w:pPr>
      <w:r>
        <w:rPr>
          <w:rFonts w:ascii="Arial" w:cs="Arial" w:eastAsia="Arial" w:hAnsi="Arial"/>
          <w:sz w:val="24"/>
          <w:szCs w:val="24"/>
        </w:rPr>
        <w:t xml:space="preserve">(18) Темпы прироста приведены по ВДС.</w:t>
      </w:r>
    </w:p>
    <w:p>
      <w:pPr>
        <w:spacing w:after="60"/>
        <w:ind w:firstLine="567"/>
        <w:jc w:val="both"/>
      </w:pPr>
      <w:r>
        <w:rPr>
          <w:rFonts w:ascii="Arial" w:cs="Arial" w:eastAsia="Arial" w:hAnsi="Arial"/>
          <w:sz w:val="24"/>
          <w:szCs w:val="24"/>
        </w:rPr>
        <w:t xml:space="preserve">(19) Одобрены постановлением правления Национального банка Кыргызской Республики от 17 декабря 2014 года № 55/3.</w:t>
      </w:r>
    </w:p>
    <w:p>
      <w:pPr>
        <w:spacing w:after="60"/>
        <w:ind w:firstLine="567"/>
        <w:jc w:val="both"/>
      </w:pPr>
      <w:r>
        <w:rPr>
          <w:rFonts w:ascii="Arial" w:cs="Arial" w:eastAsia="Arial" w:hAnsi="Arial"/>
          <w:sz w:val="24"/>
          <w:szCs w:val="24"/>
        </w:rPr>
        <w:t xml:space="preserve">(20) Без учета стоимости переработанного давальческого сырья.</w:t>
      </w:r>
    </w:p>
    <w:p>
      <w:pPr>
        <w:spacing w:after="60"/>
        <w:ind w:firstLine="567"/>
        <w:jc w:val="both"/>
      </w:pPr>
      <w:r>
        <w:rPr>
          <w:rFonts w:ascii="Arial" w:cs="Arial" w:eastAsia="Arial" w:hAnsi="Arial"/>
          <w:sz w:val="24"/>
          <w:szCs w:val="24"/>
        </w:rPr>
        <w:t xml:space="preserve">(21) Без учета стоимости переработанного давальческого сырья.".</w:t>
      </w:r>
    </w:p>
    <w:p>
      <w:pPr>
        <w:spacing w:after="60"/>
        <w:ind w:firstLine="567"/>
        <w:jc w:val="both"/>
      </w:pPr>
      <w:r>
        <w:rPr>
          <w:rFonts w:ascii="Arial" w:cs="Arial" w:eastAsia="Arial" w:hAnsi="Arial"/>
          <w:sz w:val="24"/>
          <w:szCs w:val="24"/>
        </w:rPr>
        <w:t xml:space="preserve"/>
      </w:r>
    </w:p>
    <w:p>
      <w:pPr>
        <w:spacing w:after="240"/>
        <w:jc w:val="left"/>
      </w:pPr>
      <w:r>
        <w:rPr>
          <w:rFonts w:ascii="Arial" w:cs="Arial" w:eastAsia="Arial" w:hAnsi="Arial"/>
          <w:i/>
          <w:iCs/>
          <w:sz w:val="24"/>
          <w:szCs w:val="24"/>
        </w:rPr>
        <w:t xml:space="preserve">Приложения к настоящему Прогнозу хранятся в архиве Министерства Юстиции КР</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bc3olytefyg9t-0cjeqx">
      <w:r>
        <w:rPr>
          <w:rFonts w:ascii="Arial" w:cs="Arial" w:eastAsia="Arial" w:hAnsi="Arial"/>
          <w:color w:val="132D3F"/>
          <w:sz w:val="16"/>
          <w:szCs w:val="16"/>
          <w:u w:val="single"/>
        </w:rPr>
        <w:t xml:space="preserve">dalil.kg/document/98309</w:t>
      </w:r>
    </w:hyperlink>
  </w:p>
  <w:p>
    <w:pPr>
      <w:spacing w:after="0" w:before="40"/>
      <w:jc w:val="center"/>
    </w:pPr>
    <w:hyperlink w:history="1" r:id="rIdtfrxfezq8qy5reviejaa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ot9xg-w5jc5t-zrcq00y" Type="http://schemas.openxmlformats.org/officeDocument/2006/relationships/hyperlink" Target="https://dalil.kg/document/98791" TargetMode="External"/><Relationship Id="rIdy1hrxsfclmel0eamgmyf9" Type="http://schemas.openxmlformats.org/officeDocument/2006/relationships/hyperlink" Target="https://dalil.kg/document/98310" TargetMode="External"/><Relationship Id="rId-cpjn-hy6xvcmhbvjsmm2" Type="http://schemas.openxmlformats.org/officeDocument/2006/relationships/hyperlink" Target="https://dalil.kg/document/202530" TargetMode="External"/><Relationship Id="rId-xnv1rc-82wdmsyicsb-n" Type="http://schemas.openxmlformats.org/officeDocument/2006/relationships/hyperlink" Target="https://dalil.kg/document/203685" TargetMode="External"/><Relationship Id="rId7tgirjwfuwzvs3mkwmuqo" Type="http://schemas.openxmlformats.org/officeDocument/2006/relationships/hyperlink" Target="https://dalil.kg/document/98309#p1" TargetMode="External"/><Relationship Id="rIdk7elzqobkvznyubchugif" Type="http://schemas.openxmlformats.org/officeDocument/2006/relationships/hyperlink" Target="https://dalil.kg/document/96883" TargetMode="External"/><Relationship Id="rIdar6ph046scpvitnv9dv_t" Type="http://schemas.openxmlformats.org/officeDocument/2006/relationships/hyperlink" Target="https://dalil.kg/document/96884" TargetMode="External"/><Relationship Id="rIdmkkj1_q4xlwhwm96iwjah" Type="http://schemas.openxmlformats.org/officeDocument/2006/relationships/hyperlink" Target="https://dalil.kg/document/98310"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bc3olytefyg9t-0cjeqx" Type="http://schemas.openxmlformats.org/officeDocument/2006/relationships/hyperlink" Target="https://dalil.kg/document/98309" TargetMode="External"/><Relationship Id="rIdtfrxfezq8qy5reviejaa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2026-10-01T20:00:05.199Z</dcterms:created>
  <dcterms:modified xsi:type="dcterms:W3CDTF">2026-10-01T20:00:05.199Z</dcterms:modified>
</cp:coreProperties>
</file>

<file path=docProps/custom.xml><?xml version="1.0" encoding="utf-8"?>
<Properties xmlns="http://schemas.openxmlformats.org/officeDocument/2006/custom-properties" xmlns:vt="http://schemas.openxmlformats.org/officeDocument/2006/docPropsVTypes"/>
</file>