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МЕТОДИКА
 расчета суммы страхового возмещения по обязательному страхованию жилых помещений от пожара и стихийных бедствий</w:t>
      </w:r>
    </w:p>
    <w:p>
      <w:pPr>
        <w:spacing w:after="120"/>
        <w:jc w:val="both"/>
      </w:pPr>
      <w:r>
        <w:rPr>
          <w:rFonts w:ascii="Arial" w:cs="Arial" w:eastAsia="Arial" w:hAnsi="Arial"/>
          <w:sz w:val="24"/>
          <w:szCs w:val="24"/>
        </w:rPr>
        <w:t xml:space="preserve">1. Основные понятия</w:t>
      </w:r>
    </w:p>
    <w:p>
      <w:pPr>
        <w:spacing w:after="60"/>
        <w:ind w:firstLine="567"/>
        <w:jc w:val="both"/>
      </w:pPr>
      <w:r>
        <w:rPr>
          <w:rFonts w:ascii="Arial" w:cs="Arial" w:eastAsia="Arial" w:hAnsi="Arial"/>
          <w:sz w:val="24"/>
          <w:szCs w:val="24"/>
        </w:rPr>
        <w:t xml:space="preserve">Настоящая Методика определяет порядок расчета страхового возмещения по обязательному страхованию жилых помещений от пожара и стихийных бедствий (далее - Методика).</w:t>
      </w:r>
    </w:p>
    <w:p>
      <w:pPr>
        <w:spacing w:after="60"/>
        <w:ind w:firstLine="567"/>
        <w:jc w:val="both"/>
      </w:pPr>
      <w:r>
        <w:rPr>
          <w:rFonts w:ascii="Arial" w:cs="Arial" w:eastAsia="Arial" w:hAnsi="Arial"/>
          <w:sz w:val="24"/>
          <w:szCs w:val="24"/>
        </w:rPr>
        <w:t xml:space="preserve">Методика базируется на процентном распределении конструктивных элементов жилых помещений к его стоимости. Учитывая, что жилые помещения отличаются друг от друга применяемыми строительными и отделочными материалами, в настоящей Методике приведены усредненные показатели, которые в последующем могут быть пересмотрены.</w:t>
      </w:r>
    </w:p>
    <w:p>
      <w:pPr>
        <w:spacing w:after="60"/>
        <w:ind w:firstLine="567"/>
        <w:jc w:val="both"/>
      </w:pPr>
      <w:r>
        <w:rPr>
          <w:rFonts w:ascii="Arial" w:cs="Arial" w:eastAsia="Arial" w:hAnsi="Arial"/>
          <w:sz w:val="24"/>
          <w:szCs w:val="24"/>
        </w:rPr>
        <w:t xml:space="preserve">В Методике используются следующие понятия:</w:t>
      </w:r>
    </w:p>
    <w:p>
      <w:pPr>
        <w:spacing w:after="60"/>
        <w:ind w:firstLine="567"/>
        <w:jc w:val="both"/>
      </w:pPr>
      <w:r>
        <w:rPr>
          <w:rFonts w:ascii="Arial" w:cs="Arial" w:eastAsia="Arial" w:hAnsi="Arial"/>
          <w:b/>
          <w:bCs/>
          <w:sz w:val="24"/>
          <w:szCs w:val="24"/>
        </w:rPr>
        <w:t xml:space="preserve">кровля</w:t>
      </w:r>
      <w:r>
        <w:rPr>
          <w:rFonts w:ascii="Arial" w:cs="Arial" w:eastAsia="Arial" w:hAnsi="Arial"/>
          <w:sz w:val="24"/>
          <w:szCs w:val="24"/>
        </w:rPr>
        <w:t xml:space="preserve"> - верхний водоизолирующий слой покрытия или крыши здания. По своей конструкции кровля бывает листовая, рулонная, чешуйчатая, в виде стяжки, пленочная;</w:t>
      </w:r>
    </w:p>
    <w:p>
      <w:pPr>
        <w:spacing w:after="60"/>
        <w:ind w:firstLine="567"/>
        <w:jc w:val="both"/>
      </w:pPr>
      <w:r>
        <w:rPr>
          <w:rFonts w:ascii="Arial" w:cs="Arial" w:eastAsia="Arial" w:hAnsi="Arial"/>
          <w:b/>
          <w:bCs/>
          <w:sz w:val="24"/>
          <w:szCs w:val="24"/>
        </w:rPr>
        <w:t xml:space="preserve">пол</w:t>
      </w:r>
      <w:r>
        <w:rPr>
          <w:rFonts w:ascii="Arial" w:cs="Arial" w:eastAsia="Arial" w:hAnsi="Arial"/>
          <w:sz w:val="24"/>
          <w:szCs w:val="24"/>
        </w:rPr>
        <w:t xml:space="preserve"> - верхний (или отделочный) слой, укладываемый по несущей конструкции перекрытия или по грунту (на первом этаже здания). Полы обычно состоят из покрытия (слой, непосредственно подвергающийся эксплуатационным воздействиям), прослойки, стяжки, гидроизоляционного, звукоизоляционного или теплоизоляционного слоя, а также подстилающего слоя, распределяющего нагрузку по основанию;</w:t>
      </w:r>
    </w:p>
    <w:p>
      <w:pPr>
        <w:spacing w:after="60"/>
        <w:ind w:firstLine="567"/>
        <w:jc w:val="both"/>
      </w:pPr>
      <w:r>
        <w:rPr>
          <w:rFonts w:ascii="Arial" w:cs="Arial" w:eastAsia="Arial" w:hAnsi="Arial"/>
          <w:b/>
          <w:bCs/>
          <w:sz w:val="24"/>
          <w:szCs w:val="24"/>
        </w:rPr>
        <w:t xml:space="preserve">потолок</w:t>
      </w:r>
      <w:r>
        <w:rPr>
          <w:rFonts w:ascii="Arial" w:cs="Arial" w:eastAsia="Arial" w:hAnsi="Arial"/>
          <w:sz w:val="24"/>
          <w:szCs w:val="24"/>
        </w:rPr>
        <w:t xml:space="preserve"> - нижняя часть ограждающей конструкции, ограничивающей помещение сверху. Потолок может быть связан непосредственно нижней частью перекрытия или образован особыми конструктивными элементами;</w:t>
      </w:r>
    </w:p>
    <w:p>
      <w:pPr>
        <w:spacing w:after="60"/>
        <w:ind w:firstLine="567"/>
        <w:jc w:val="both"/>
      </w:pPr>
      <w:r>
        <w:rPr>
          <w:rFonts w:ascii="Arial" w:cs="Arial" w:eastAsia="Arial" w:hAnsi="Arial"/>
          <w:b/>
          <w:bCs/>
          <w:sz w:val="24"/>
          <w:szCs w:val="24"/>
        </w:rPr>
        <w:t xml:space="preserve">перекрытие</w:t>
      </w:r>
      <w:r>
        <w:rPr>
          <w:rFonts w:ascii="Arial" w:cs="Arial" w:eastAsia="Arial" w:hAnsi="Arial"/>
          <w:sz w:val="24"/>
          <w:szCs w:val="24"/>
        </w:rPr>
        <w:t xml:space="preserve"> - горизонтальная внутренняя ограждающая конструкция, разделяющая по высоте смежные помещения в здании. По назначению различают виды перекрытий: междуэтажные, надподвальные и чердачные;</w:t>
      </w:r>
    </w:p>
    <w:p>
      <w:pPr>
        <w:spacing w:after="60"/>
        <w:ind w:firstLine="567"/>
        <w:jc w:val="both"/>
      </w:pPr>
      <w:r>
        <w:rPr>
          <w:rFonts w:ascii="Arial" w:cs="Arial" w:eastAsia="Arial" w:hAnsi="Arial"/>
          <w:b/>
          <w:bCs/>
          <w:sz w:val="24"/>
          <w:szCs w:val="24"/>
        </w:rPr>
        <w:t xml:space="preserve">отделочные материалы</w:t>
      </w:r>
      <w:r>
        <w:rPr>
          <w:rFonts w:ascii="Arial" w:cs="Arial" w:eastAsia="Arial" w:hAnsi="Arial"/>
          <w:sz w:val="24"/>
          <w:szCs w:val="24"/>
        </w:rPr>
        <w:t xml:space="preserve"> - строительные материалы и изделия, применяемые для отделки зданий и сооружений с целью повышения их эксплуатации, эстетических качеств и стойкости против атмосферных и других воздействий;</w:t>
      </w:r>
    </w:p>
    <w:p>
      <w:pPr>
        <w:spacing w:after="60"/>
        <w:ind w:firstLine="567"/>
        <w:jc w:val="both"/>
      </w:pPr>
      <w:r>
        <w:rPr>
          <w:rFonts w:ascii="Arial" w:cs="Arial" w:eastAsia="Arial" w:hAnsi="Arial"/>
          <w:b/>
          <w:bCs/>
          <w:sz w:val="24"/>
          <w:szCs w:val="24"/>
        </w:rPr>
        <w:t xml:space="preserve">стена</w:t>
      </w:r>
      <w:r>
        <w:rPr>
          <w:rFonts w:ascii="Arial" w:cs="Arial" w:eastAsia="Arial" w:hAnsi="Arial"/>
          <w:sz w:val="24"/>
          <w:szCs w:val="24"/>
        </w:rPr>
        <w:t xml:space="preserve"> - часть здания, выполняющая функции вертикальной ограждающей и несущей конструкции. Стены подразделяются на внутренние и наружные;</w:t>
      </w:r>
    </w:p>
    <w:p>
      <w:pPr>
        <w:spacing w:after="60"/>
        <w:ind w:firstLine="567"/>
        <w:jc w:val="both"/>
      </w:pPr>
      <w:r>
        <w:rPr>
          <w:rFonts w:ascii="Arial" w:cs="Arial" w:eastAsia="Arial" w:hAnsi="Arial"/>
          <w:b/>
          <w:bCs/>
          <w:sz w:val="24"/>
          <w:szCs w:val="24"/>
        </w:rPr>
        <w:t xml:space="preserve">фундамент</w:t>
      </w:r>
      <w:r>
        <w:rPr>
          <w:rFonts w:ascii="Arial" w:cs="Arial" w:eastAsia="Arial" w:hAnsi="Arial"/>
          <w:sz w:val="24"/>
          <w:szCs w:val="24"/>
        </w:rPr>
        <w:t xml:space="preserve"> - подземная или подводная часть здания или сооружения, через которую передается нагрузка на грунт основания. Фундаменты бывают свайные, в виде кессонов, опускных колодцев, глубоких опор, и обычные;</w:t>
      </w:r>
    </w:p>
    <w:p>
      <w:pPr>
        <w:spacing w:after="60"/>
        <w:ind w:firstLine="567"/>
        <w:jc w:val="both"/>
      </w:pPr>
      <w:r>
        <w:rPr>
          <w:rFonts w:ascii="Arial" w:cs="Arial" w:eastAsia="Arial" w:hAnsi="Arial"/>
          <w:b/>
          <w:bCs/>
          <w:sz w:val="24"/>
          <w:szCs w:val="24"/>
        </w:rPr>
        <w:t xml:space="preserve">окна</w:t>
      </w:r>
      <w:r>
        <w:rPr>
          <w:rFonts w:ascii="Arial" w:cs="Arial" w:eastAsia="Arial" w:hAnsi="Arial"/>
          <w:sz w:val="24"/>
          <w:szCs w:val="24"/>
        </w:rPr>
        <w:t xml:space="preserve"> - проемы в наружных стенах зданий или сооружений для освещения, инсоляции и проветривания помещений;</w:t>
      </w:r>
    </w:p>
    <w:p>
      <w:pPr>
        <w:spacing w:after="60"/>
        <w:ind w:firstLine="567"/>
        <w:jc w:val="both"/>
      </w:pPr>
      <w:r>
        <w:rPr>
          <w:rFonts w:ascii="Arial" w:cs="Arial" w:eastAsia="Arial" w:hAnsi="Arial"/>
          <w:b/>
          <w:bCs/>
          <w:sz w:val="24"/>
          <w:szCs w:val="24"/>
        </w:rPr>
        <w:t xml:space="preserve">двери</w:t>
      </w:r>
      <w:r>
        <w:rPr>
          <w:rFonts w:ascii="Arial" w:cs="Arial" w:eastAsia="Arial" w:hAnsi="Arial"/>
          <w:sz w:val="24"/>
          <w:szCs w:val="24"/>
        </w:rPr>
        <w:t xml:space="preserve"> по назначению разделяются на наружные, входные в помещения с лестничной клетки, внутренние шкафные, чердачные, подвальные и т.д., а также специального назначения;</w:t>
      </w:r>
    </w:p>
    <w:p>
      <w:pPr>
        <w:spacing w:after="60"/>
        <w:ind w:firstLine="567"/>
        <w:jc w:val="both"/>
      </w:pPr>
      <w:r>
        <w:rPr>
          <w:rFonts w:ascii="Arial" w:cs="Arial" w:eastAsia="Arial" w:hAnsi="Arial"/>
          <w:b/>
          <w:bCs/>
          <w:sz w:val="24"/>
          <w:szCs w:val="24"/>
        </w:rPr>
        <w:t xml:space="preserve">санитарно-технические работы</w:t>
      </w:r>
      <w:r>
        <w:rPr>
          <w:rFonts w:ascii="Arial" w:cs="Arial" w:eastAsia="Arial" w:hAnsi="Arial"/>
          <w:sz w:val="24"/>
          <w:szCs w:val="24"/>
        </w:rPr>
        <w:t xml:space="preserve"> - работы, связанные с сооружением систем отопления, вентиляции, газоснабжения, горячего водоснабжения, водопровода и канализации зданий.</w:t>
      </w:r>
    </w:p>
    <w:p>
      <w:pPr>
        <w:spacing w:after="60"/>
        <w:ind w:firstLine="567"/>
        <w:jc w:val="both"/>
      </w:pPr>
      <w:r>
        <w:rPr>
          <w:rFonts w:ascii="Arial" w:cs="Arial" w:eastAsia="Arial" w:hAnsi="Arial"/>
          <w:sz w:val="24"/>
          <w:szCs w:val="24"/>
        </w:rPr>
        <w:t xml:space="preserve">Процентное соотношение стоимости отдельных элементов жилого помещения к стоимости помещения (для частных домов):</w:t>
      </w:r>
    </w:p>
    <w:p>
      <w:pPr>
        <w:spacing w:after="240" w:before="24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7"/>
        <w:gridCol w:w="6571"/>
      </w:tblGrid>
      <w:tr>
        <w:tc>
          <w:tcPr>
            <w:tcW w:type="dxa" w:w="36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отдельных элементов жилого помещения</w:t>
            </w:r>
          </w:p>
        </w:tc>
        <w:tc>
          <w:tcPr>
            <w:tcW w:type="dxa" w:w="65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Процентное соотношение стоимости отдельных элементов жилого помещения к общей стоимости помещения (%)</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Фундамент</w:t>
            </w:r>
          </w:p>
        </w:tc>
        <w:tc>
          <w:tcPr>
            <w:tcW w:type="dxa" w:w="6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6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Стены (внутренняя отделка)</w:t>
            </w:r>
          </w:p>
        </w:tc>
        <w:tc>
          <w:tcPr>
            <w:tcW w:type="dxa" w:w="6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Заполненные проемы (окна, двери)</w:t>
            </w:r>
          </w:p>
        </w:tc>
        <w:tc>
          <w:tcPr>
            <w:tcW w:type="dxa" w:w="6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Перекрытие</w:t>
            </w:r>
          </w:p>
        </w:tc>
        <w:tc>
          <w:tcPr>
            <w:tcW w:type="dxa" w:w="6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Крыша</w:t>
            </w:r>
          </w:p>
        </w:tc>
        <w:tc>
          <w:tcPr>
            <w:tcW w:type="dxa" w:w="6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Наружная отделка</w:t>
            </w:r>
          </w:p>
        </w:tc>
        <w:tc>
          <w:tcPr>
            <w:tcW w:type="dxa" w:w="6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6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before="120"/>
        <w:ind w:firstLine="567"/>
        <w:jc w:val="both"/>
      </w:pPr>
      <w:r>
        <w:rPr>
          <w:rFonts w:ascii="Arial" w:cs="Arial" w:eastAsia="Arial" w:hAnsi="Arial"/>
          <w:sz w:val="24"/>
          <w:szCs w:val="24"/>
        </w:rPr>
        <w:t xml:space="preserve">Процентное соотношение стоимости отдельных элементов жилого помещения к стоимости помещения (для квартир):</w:t>
      </w:r>
    </w:p>
    <w:p>
      <w:pPr>
        <w:spacing w:after="240" w:before="240"/>
        <w:ind w:firstLine="567"/>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5"/>
        <w:gridCol w:w="6563"/>
      </w:tblGrid>
      <w:tr>
        <w:tc>
          <w:tcPr>
            <w:tcW w:type="dxa" w:w="36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отдельных элементов жилого помещения</w:t>
            </w:r>
          </w:p>
        </w:tc>
        <w:tc>
          <w:tcPr>
            <w:tcW w:type="dxa" w:w="65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Процентное соотношение стоимости отдельных элементов жилого помещения к общей стоимости помещения (%)</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w:t>
            </w:r>
          </w:p>
        </w:tc>
        <w:tc>
          <w:tcPr>
            <w:tcW w:type="dxa" w:w="6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Потолок</w:t>
            </w:r>
          </w:p>
        </w:tc>
        <w:tc>
          <w:tcPr>
            <w:tcW w:type="dxa" w:w="6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Стены (внутренняя отделка)</w:t>
            </w:r>
          </w:p>
        </w:tc>
        <w:tc>
          <w:tcPr>
            <w:tcW w:type="dxa" w:w="6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Заполненные проемы (окна, двери)</w:t>
            </w:r>
          </w:p>
        </w:tc>
        <w:tc>
          <w:tcPr>
            <w:tcW w:type="dxa" w:w="6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Инженерное, сантехническое оборудование</w:t>
            </w:r>
          </w:p>
        </w:tc>
        <w:tc>
          <w:tcPr>
            <w:tcW w:type="dxa" w:w="6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65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before="120"/>
        <w:ind w:firstLine="567"/>
        <w:jc w:val="both"/>
      </w:pPr>
      <w:r>
        <w:rPr>
          <w:rFonts w:ascii="Arial" w:cs="Arial" w:eastAsia="Arial" w:hAnsi="Arial"/>
          <w:sz w:val="24"/>
          <w:szCs w:val="24"/>
        </w:rPr>
        <w:t xml:space="preserve">Определяется общая площадь и площадь поврежденных частей жилого помещения в процентах к общей площади. Сумма страхового возмещения рассчитывается произведением страховой суммы на процент поврежденных частей жилого помещения и на процентное соотношение стоимости отдельных элементов.</w:t>
      </w:r>
    </w:p>
    <w:p>
      <w:pPr>
        <w:spacing w:after="60"/>
        <w:ind w:firstLine="567"/>
        <w:jc w:val="both"/>
      </w:pPr>
      <w:r>
        <w:rPr>
          <w:rFonts w:ascii="Arial" w:cs="Arial" w:eastAsia="Arial" w:hAnsi="Arial"/>
          <w:sz w:val="24"/>
          <w:szCs w:val="24"/>
        </w:rPr>
        <w:t xml:space="preserve">Примеры расчета суммы страхового возмещения для частных домов городской местности:</w:t>
      </w:r>
    </w:p>
    <w:p>
      <w:pPr>
        <w:spacing w:after="240" w:before="240"/>
        <w:ind w:firstLine="567"/>
        <w:jc w:val="right"/>
      </w:pPr>
      <w:r>
        <w:rPr>
          <w:rFonts w:ascii="Arial" w:cs="Arial" w:eastAsia="Arial" w:hAnsi="Arial"/>
          <w:sz w:val="24"/>
          <w:szCs w:val="24"/>
        </w:rPr>
        <w:t xml:space="preserve">Пример №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3117"/>
        <w:gridCol w:w="6632"/>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1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6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городе</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сомов</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 сомов</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Повреждение внутренней отделки всего дома:</w:t>
            </w:r>
          </w:p>
          <w:p>
            <w:pPr>
              <w:jc w:val="left"/>
            </w:pPr>
            <w:r>
              <w:rPr>
                <w:rFonts w:ascii="Arial" w:cs="Arial" w:eastAsia="Arial" w:hAnsi="Arial"/>
                <w:sz w:val="24"/>
                <w:szCs w:val="24"/>
              </w:rPr>
              <w:t xml:space="preserve">100% всей внутренней отделки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6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 сомов (1000000 х 30%)</w:t>
            </w:r>
          </w:p>
        </w:tc>
      </w:tr>
    </w:tbl>
    <w:p>
      <w:pPr>
        <w:spacing w:after="240" w:before="240"/>
        <w:ind w:firstLine="567"/>
        <w:jc w:val="right"/>
      </w:pPr>
      <w:r>
        <w:rPr>
          <w:rFonts w:ascii="Arial" w:cs="Arial" w:eastAsia="Arial" w:hAnsi="Arial"/>
          <w:sz w:val="24"/>
          <w:szCs w:val="24"/>
        </w:rPr>
        <w:t xml:space="preserve">Пример №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3062"/>
        <w:gridCol w:w="6687"/>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6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городе</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сомов</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 сомов</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Частичное повреждение внутренней отделки одной комнаты:</w:t>
            </w:r>
          </w:p>
          <w:p>
            <w:pPr>
              <w:jc w:val="left"/>
            </w:pPr>
            <w:r>
              <w:rPr>
                <w:rFonts w:ascii="Arial" w:cs="Arial" w:eastAsia="Arial" w:hAnsi="Arial"/>
                <w:sz w:val="24"/>
                <w:szCs w:val="24"/>
              </w:rPr>
              <w:t xml:space="preserve">- высчитывается площадь всех стен в жилом помещении как часть внутренней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поврежденных стен подлежащих ремонту: 54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процент поврежденных стен: 20% (54 х 100 / 270)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 сомов (1000000 х 30% х 20%)</w:t>
            </w:r>
          </w:p>
        </w:tc>
      </w:tr>
    </w:tbl>
    <w:p>
      <w:pPr>
        <w:spacing w:after="240" w:before="240"/>
        <w:ind w:firstLine="567"/>
        <w:jc w:val="right"/>
      </w:pPr>
      <w:r>
        <w:rPr>
          <w:rFonts w:ascii="Arial" w:cs="Arial" w:eastAsia="Arial" w:hAnsi="Arial"/>
          <w:sz w:val="24"/>
          <w:szCs w:val="24"/>
        </w:rPr>
        <w:t xml:space="preserve">Пример №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125"/>
        <w:gridCol w:w="6688"/>
      </w:tblGrid>
      <w:tr>
        <w:tc>
          <w:tcPr>
            <w:tcW w:type="dxa" w:w="3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1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городе</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сомов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 сомов</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Землетрясение</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Трещины на стенах с повреждением внутренней и внешней отделки жилого дома:</w:t>
            </w:r>
          </w:p>
          <w:p>
            <w:pPr>
              <w:jc w:val="left"/>
            </w:pPr>
            <w:r>
              <w:rPr>
                <w:rFonts w:ascii="Arial" w:cs="Arial" w:eastAsia="Arial" w:hAnsi="Arial"/>
                <w:sz w:val="24"/>
                <w:szCs w:val="24"/>
              </w:rPr>
              <w:t xml:space="preserve">- высчитывается площадь наружных стен в жилом помещении как часть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внутренних стен в жилом помещении как часть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наружных стен, подлежащих ремонту: 15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внутренних стен, подлежащих ремонту: 35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процент поврежденных наружных стен: 5,7% (15 x 100 / 270);</w:t>
            </w:r>
          </w:p>
          <w:p>
            <w:pPr>
              <w:jc w:val="left"/>
            </w:pPr>
            <w:r>
              <w:rPr>
                <w:rFonts w:ascii="Arial" w:cs="Arial" w:eastAsia="Arial" w:hAnsi="Arial"/>
                <w:sz w:val="24"/>
                <w:szCs w:val="24"/>
              </w:rPr>
              <w:t xml:space="preserve">- процент поврежденных внутренних стен: 13% (35 х 100 / 270)</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44700 сомов</w:t>
            </w:r>
          </w:p>
          <w:p>
            <w:pPr>
              <w:jc w:val="left"/>
            </w:pPr>
            <w:r>
              <w:rPr>
                <w:rFonts w:ascii="Arial" w:cs="Arial" w:eastAsia="Arial" w:hAnsi="Arial"/>
                <w:sz w:val="24"/>
                <w:szCs w:val="24"/>
              </w:rPr>
              <w:t xml:space="preserve">(1000000 х 10% х 5,7% + 1000000 х 30% х 13%)</w:t>
            </w:r>
          </w:p>
        </w:tc>
      </w:tr>
    </w:tbl>
    <w:p>
      <w:pPr>
        <w:spacing w:after="240" w:before="240"/>
        <w:ind w:firstLine="567"/>
        <w:jc w:val="right"/>
      </w:pPr>
      <w:r>
        <w:rPr>
          <w:rFonts w:ascii="Arial" w:cs="Arial" w:eastAsia="Arial" w:hAnsi="Arial"/>
          <w:sz w:val="24"/>
          <w:szCs w:val="24"/>
        </w:rPr>
        <w:t xml:space="preserve">Пример №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3009"/>
        <w:gridCol w:w="6687"/>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6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городе</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сомов</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 сомов</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Землетрясение</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не пригоден для дальнейшего проживания людей</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1000000 сомов</w:t>
            </w:r>
          </w:p>
        </w:tc>
      </w:tr>
    </w:tbl>
    <w:p>
      <w:pPr>
        <w:spacing w:after="60" w:before="120"/>
        <w:ind w:firstLine="567"/>
        <w:jc w:val="both"/>
      </w:pPr>
      <w:r>
        <w:rPr>
          <w:rFonts w:ascii="Arial" w:cs="Arial" w:eastAsia="Arial" w:hAnsi="Arial"/>
          <w:sz w:val="24"/>
          <w:szCs w:val="24"/>
        </w:rPr>
        <w:t xml:space="preserve">Примеры </w:t>
      </w:r>
      <w:r>
        <w:rPr>
          <w:rFonts w:ascii="Arial" w:cs="Arial" w:eastAsia="Arial" w:hAnsi="Arial"/>
          <w:sz w:val="24"/>
          <w:szCs w:val="24"/>
        </w:rPr>
        <w:t xml:space="preserve">расчета суммы страхового возмещения для частных домов сельской местности:</w:t>
      </w:r>
    </w:p>
    <w:p>
      <w:pPr>
        <w:spacing w:after="240" w:before="240"/>
        <w:ind w:firstLine="567"/>
        <w:jc w:val="right"/>
      </w:pPr>
      <w:r>
        <w:rPr>
          <w:rFonts w:ascii="Arial" w:cs="Arial" w:eastAsia="Arial" w:hAnsi="Arial"/>
          <w:sz w:val="24"/>
          <w:szCs w:val="24"/>
        </w:rPr>
        <w:t xml:space="preserve">Пример №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
        <w:gridCol w:w="2973"/>
        <w:gridCol w:w="6688"/>
      </w:tblGrid>
      <w:tr>
        <w:tc>
          <w:tcPr>
            <w:tcW w:type="dxa" w:w="5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9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сельской местности</w:t>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 сомов</w:t>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сомов</w:t>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w:t>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Повреждение внутренней отделки всего дома:</w:t>
            </w:r>
          </w:p>
          <w:p>
            <w:pPr>
              <w:jc w:val="left"/>
            </w:pPr>
            <w:r>
              <w:rPr>
                <w:rFonts w:ascii="Arial" w:cs="Arial" w:eastAsia="Arial" w:hAnsi="Arial"/>
                <w:sz w:val="24"/>
                <w:szCs w:val="24"/>
              </w:rPr>
              <w:t xml:space="preserve">100% всей внутренней отделки</w:t>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150000 сомов (500000 х 30%)</w:t>
            </w:r>
          </w:p>
        </w:tc>
      </w:tr>
    </w:tbl>
    <w:p>
      <w:pPr>
        <w:spacing w:after="240" w:before="240"/>
        <w:ind w:firstLine="567"/>
        <w:jc w:val="right"/>
      </w:pPr>
      <w:r>
        <w:rPr>
          <w:rFonts w:ascii="Arial" w:cs="Arial" w:eastAsia="Arial" w:hAnsi="Arial"/>
          <w:sz w:val="24"/>
          <w:szCs w:val="24"/>
        </w:rPr>
        <w:t xml:space="preserve">Пример №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3062"/>
        <w:gridCol w:w="6687"/>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6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сельской местности</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 сомов</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сомов</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Частичное повреждение внутренней отделки одной комнаты:</w:t>
            </w:r>
          </w:p>
          <w:p>
            <w:pPr>
              <w:jc w:val="left"/>
            </w:pPr>
            <w:r>
              <w:rPr>
                <w:rFonts w:ascii="Arial" w:cs="Arial" w:eastAsia="Arial" w:hAnsi="Arial"/>
                <w:sz w:val="24"/>
                <w:szCs w:val="24"/>
              </w:rPr>
              <w:t xml:space="preserve">- высчитывается площадь всех стен в жилом помещении как часть внутренней отделки: 270 м2 (условно);</w:t>
            </w:r>
          </w:p>
          <w:p>
            <w:pPr>
              <w:jc w:val="left"/>
            </w:pPr>
            <w:r>
              <w:rPr>
                <w:rFonts w:ascii="Arial" w:cs="Arial" w:eastAsia="Arial" w:hAnsi="Arial"/>
                <w:sz w:val="24"/>
                <w:szCs w:val="24"/>
              </w:rPr>
              <w:t xml:space="preserve">- высчитывается площадь поврежденных стен подлежащих ремонту: 54 м2 (условно);</w:t>
            </w:r>
          </w:p>
          <w:p>
            <w:pPr>
              <w:jc w:val="left"/>
            </w:pPr>
            <w:r>
              <w:rPr>
                <w:rFonts w:ascii="Arial" w:cs="Arial" w:eastAsia="Arial" w:hAnsi="Arial"/>
                <w:sz w:val="24"/>
                <w:szCs w:val="24"/>
              </w:rPr>
              <w:t xml:space="preserve">- процент поврежденных стен: 20% (54 х 100 / 270)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 сомов (500000 х 30% х 20%)</w:t>
            </w:r>
          </w:p>
        </w:tc>
      </w:tr>
    </w:tbl>
    <w:p>
      <w:pPr>
        <w:spacing w:after="240" w:before="240"/>
        <w:ind w:firstLine="567"/>
        <w:jc w:val="right"/>
      </w:pPr>
      <w:r>
        <w:rPr>
          <w:rFonts w:ascii="Arial" w:cs="Arial" w:eastAsia="Arial" w:hAnsi="Arial"/>
          <w:sz w:val="24"/>
          <w:szCs w:val="24"/>
        </w:rPr>
        <w:t xml:space="preserve">Пример №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3062"/>
        <w:gridCol w:w="6687"/>
      </w:tblGrid>
      <w:tr>
        <w:tc>
          <w:tcPr>
            <w:tcW w:type="dxa" w:w="4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6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сельской местности</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 сомов</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сомов</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Землетрясение</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Трещины на стенах с повреждением внутренней и внешней отделки жилого дома:</w:t>
            </w:r>
          </w:p>
          <w:p>
            <w:pPr>
              <w:jc w:val="left"/>
            </w:pPr>
            <w:r>
              <w:rPr>
                <w:rFonts w:ascii="Arial" w:cs="Arial" w:eastAsia="Arial" w:hAnsi="Arial"/>
                <w:sz w:val="24"/>
                <w:szCs w:val="24"/>
              </w:rPr>
              <w:t xml:space="preserve">- высчитывается площадь наружных стен в жилом помещении как часть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внутренних стен в жилом помещении как часть отделки: 270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наружных стен, подлежащих ремонту: 15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высчитывается площадь внутренних стен, подлежащих ремонту: 35 м</w:t>
            </w:r>
            <w:r>
              <w:rPr>
                <w:rFonts w:ascii="Arial" w:cs="Arial" w:eastAsia="Arial" w:hAnsi="Arial"/>
                <w:sz w:val="24"/>
                <w:szCs w:val="24"/>
              </w:rPr>
              <w:t xml:space="preserve">2</w:t>
            </w:r>
            <w:r>
              <w:rPr>
                <w:rFonts w:ascii="Arial" w:cs="Arial" w:eastAsia="Arial" w:hAnsi="Arial"/>
                <w:sz w:val="24"/>
                <w:szCs w:val="24"/>
              </w:rPr>
              <w:t xml:space="preserve"> (условно);</w:t>
            </w:r>
          </w:p>
          <w:p>
            <w:pPr>
              <w:jc w:val="left"/>
            </w:pPr>
            <w:r>
              <w:rPr>
                <w:rFonts w:ascii="Arial" w:cs="Arial" w:eastAsia="Arial" w:hAnsi="Arial"/>
                <w:sz w:val="24"/>
                <w:szCs w:val="24"/>
              </w:rPr>
              <w:t xml:space="preserve">- процент поврежденных наружных стен: 5,7% (15 x 100 / 270);</w:t>
            </w:r>
          </w:p>
          <w:p>
            <w:pPr>
              <w:jc w:val="left"/>
            </w:pPr>
            <w:r>
              <w:rPr>
                <w:rFonts w:ascii="Arial" w:cs="Arial" w:eastAsia="Arial" w:hAnsi="Arial"/>
                <w:sz w:val="24"/>
                <w:szCs w:val="24"/>
              </w:rPr>
              <w:t xml:space="preserve">- процент поврежденных внутренних стен: 13% (35 x 100 / 270)</w:t>
            </w:r>
          </w:p>
        </w:tc>
      </w:tr>
      <w:tr>
        <w:tc>
          <w:tcPr>
            <w:tcW w:type="dxa" w:w="4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22350 сомов</w:t>
            </w:r>
          </w:p>
          <w:p>
            <w:pPr>
              <w:jc w:val="left"/>
            </w:pPr>
            <w:r>
              <w:rPr>
                <w:rFonts w:ascii="Arial" w:cs="Arial" w:eastAsia="Arial" w:hAnsi="Arial"/>
                <w:sz w:val="24"/>
                <w:szCs w:val="24"/>
              </w:rPr>
              <w:t xml:space="preserve">(500000 х 10% х 5,7% + 500000 х 30% х 13%)</w:t>
            </w:r>
          </w:p>
        </w:tc>
      </w:tr>
    </w:tbl>
    <w:p>
      <w:pPr>
        <w:spacing w:after="240" w:before="240"/>
        <w:ind w:firstLine="567"/>
        <w:jc w:val="right"/>
      </w:pPr>
      <w:r>
        <w:rPr>
          <w:rFonts w:ascii="Arial" w:cs="Arial" w:eastAsia="Arial" w:hAnsi="Arial"/>
          <w:sz w:val="24"/>
          <w:szCs w:val="24"/>
        </w:rPr>
        <w:t xml:space="preserve">Пример №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3009"/>
        <w:gridCol w:w="6687"/>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66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страхования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Жилой дом, находящийся в сельской местности</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Страховая сумма</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 сомов</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Годовая сумма страховой премии</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сомов</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Страховой случай</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Землетрясение</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повреждения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 не пригоден для дальнейшего проживания людей</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возмещения</w:t>
            </w:r>
          </w:p>
        </w:tc>
        <w:tc>
          <w:tcPr>
            <w:tcW w:type="dxa" w:w="6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 сомов</w:t>
            </w:r>
          </w:p>
        </w:tc>
      </w:tr>
    </w:tbl>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ccuwsrnmouss9d-xktql">
      <w:r>
        <w:rPr>
          <w:rFonts w:ascii="Arial" w:cs="Arial" w:eastAsia="Arial" w:hAnsi="Arial"/>
          <w:color w:val="132D3F"/>
          <w:sz w:val="16"/>
          <w:szCs w:val="16"/>
          <w:u w:val="single"/>
        </w:rPr>
        <w:t xml:space="preserve">dalil.kg/document/98346</w:t>
      </w:r>
    </w:hyperlink>
  </w:p>
  <w:p>
    <w:pPr>
      <w:spacing w:after="0" w:before="40"/>
      <w:jc w:val="center"/>
    </w:pPr>
    <w:hyperlink w:history="1" r:id="rId1cdrlqurvldkjst3pe10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ccuwsrnmouss9d-xktql" Type="http://schemas.openxmlformats.org/officeDocument/2006/relationships/hyperlink" Target="https://dalil.kg/document/98346" TargetMode="External"/><Relationship Id="rId1cdrlqurvldkjst3pe10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2026-09-24T07:37:54.269Z</dcterms:created>
  <dcterms:modified xsi:type="dcterms:W3CDTF">2026-09-24T07:37:54.269Z</dcterms:modified>
</cp:coreProperties>
</file>

<file path=docProps/custom.xml><?xml version="1.0" encoding="utf-8"?>
<Properties xmlns="http://schemas.openxmlformats.org/officeDocument/2006/custom-properties" xmlns:vt="http://schemas.openxmlformats.org/officeDocument/2006/docPropsVTypes"/>
</file>