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nw2z-9qrdtzndying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Программы электронного здравоохранения Кыргызской Республики на 2016-2020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доступности и внедрения персонифицированного учета медицинской помощи, оказанной на основе использования информационно-коммуникационных технологий гражданам, в соответствии с законами Кыргызской Республики "</w:t>
      </w:r>
      <w:hyperlink w:history="1" r:id="rIdrfgnuhrvxbw-mx3zvz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hbzut6vljvq_ykrh6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h_jvdya1qqvfvmlfv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rsz8t1oaglltpceqs-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электронного здравоохранения Кыргызской Республики на 2016-2020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электронного здравоохранения Кыргызской Республики на 2016-2020 годы (далее - План мероприятий) согласно </w:t>
      </w:r>
      <w:hyperlink w:history="1" r:id="rId2yva4wmuztdchuahhqj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15 числа месяца, следующего за отчетным периодом, представлять информацию о ходе реализации Плана мероприятий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электронного здравоохранения Кыргызской Республики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125"/>
        <w:gridCol w:w="2237"/>
        <w:gridCol w:w="1712"/>
        <w:gridCol w:w="1596"/>
        <w:gridCol w:w="211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Формирование регуляторной базы для электронного здравоохранения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институциональных структур для развития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Координационный совет по внедрению электронного здравоохранения при М3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электронного здравоохранения при М3 на базе Республиканского медико-информационного центра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электронного здравоохранения для эффективной реализации электронного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развития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пакет индикаторов по мониторингу развития электронного здравоохранения с привлечением независимых экспертов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дизайна архитектуры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дизайн национальной архитектуры электронного здравоохранения, общие требования и модели общесистемных компонентов и сервисов для реализации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технические спецификации и функциональные требования для информационных систем организаций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услуг, подлежащих автоматизации на основе общих сервисов.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Единой информационной системы здравоохранения, объединяющий и корректирующий существующие базы данных и использующий новейшие достижения информационных технологий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ЦЭУ, МТК, ГРС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(использование донорских средств по принципу широкосекторального подхода (SWAp)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набора стандартов для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технических и клинических стандартов для Единой информационной системы здравоохранения, на основе анализа существующих международных стандартов в сфере электронного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(использование донорских средств по принципу широкосекторального подхода (SWAp)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для обеспечения предоставления электронных услуг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оптимизации нормативной правовой базы для обеспечения предоставления электронных услуг в соответствии с установленными требованиями по защите информации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ЦЭУ, ГРС, МЭ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(использование донорских средств по принципу широкосекторального подхода (SWAp)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передового опыта зарубежных стран, в части внедрения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проектов по реализации электронного здравоохранения зарубежных стран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(использование донорских средств по принципу широкосекторального подхода (SWAp)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Внедрение центральных систем электронного здравоохранения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и обеспечение функционирования Центра обработки и хранения данных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Центра обработки и хранения данных здравоохранения для обеспечения защищенной среды хранения и обмена данными между организациями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ЦЭУ, МФ, МТК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центральных регистров и платформы обмена данными о здоровье населения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 режиме онлайн доступа к центральным регистрам: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словарь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организаций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медицинских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медицинских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диагнозы (Международная классификация болезней 10)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внедрение, поддержка и мониторинг общесистемных компонентов и сервисов для реализации электронных услуг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общесистемных сервисов для внедрения электронного здравоохранения,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удостоверение подлинности и идентификации пользователей,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электронной почты и электронного документооборота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ЦЭУ, МТК, ГРС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Центральной базы данных пациентов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Центральная база данных пациентов, обеспечивающая доступ в он-лайн режиме к основным идентификационным и демографическим данным пациентов, разработанная на основе существующей базы данных "Приписанное население"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ГРС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Центральной базы данных электронной медицинской карты пациентов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Центральная база данных электронной медицинской карты Пациентов, содержащая информацию о пациентах, которые заполняются и используются медицинским работниками организаций здравоохранения, где наблюдается пациент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информационных систем ФОМС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перевод на веб-технологии существующих информационных систем и реестра застрахованных с использованием новых информационных стандартов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ФОМС серверным оборудованием и программным обеспечением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 техническое оснащение ФОМС серверным оборудованием и программным обеспечением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медико-статистических систем с инструментами аналитики и отчетности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подготовки аналитической отчетности для мониторинга и анализа функционирования системы здравоохранения с учетом специфики оказания медицинских услуг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НСК (по согласованию), ЦЭУ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интеграция регистров общественного здравоохранения (больные диабетом, туберкулезом, база данных пострадавших в чрезвычайных ситуациях) с дальнейшей интеграцией с электронной медицинской картой пациента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информационные системы, интегрированные с электронной медицинской картой пациента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2019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ГРС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центральной электронной системы записи для посещения врача (Электронная регистратура)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Централизованная система электронной записи на прием к врачам по всем организациям здравоохранения, обеспечивающая автоматизацию процесса обслуживания пациентов и повышение прозрачности работы организаций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архив медицинских данных (медицинские карты пациентов, регистров заболеваний, медицинская статистика, базы данных по лекарствам, финансам, кадрам и т.д.)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архива медицинских данных, обеспечивающего обмен данными между организациями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общедоступных электронных ресурсов для повышения доступа населения к информации об электронном здравоохранении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информационный портал здравоохранения для повышения информированности населения и культуры пользования информацией по вопросам профилактики заболеваний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Реализация систем электронного здравоохранения на уровне организаций здравоохранения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тестирование, адаптация и внедрение клинической информационной системы для первичной медико-санитарной помощи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клинической информационной системы здравоохранения для первичной медико-санитарной помощи, обеспечивающей оперативный обмен информацией о здоровье пациента в актуальном режиме, электронный режим работы аптек, лабораторий, отделений специальной диагностики и различных служб организаций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в организациях здравоохранения с 2016 года по 2020 год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клинической информационной системы для медицинских стационаров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информационных систем, охватывающих бизнес-процессы организаций здравоохранения, оказывающих стационарные услуги (стационарное лечение, приемный покой, электронная медицинская карта, аптека, диагностическая служба)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в организациях здравоохранения с 2017 года по 2020 год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телемедицинских услуг и технологий мобильного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дистанционных консультационных центров организаций здравоохранения, предоставляющих телемедицинские и диагностические услуги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компьютерным, сетевым и коммуникационным оборудованием организаций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необходимой инфраструктуры информационно-коммуникационных технологий для внедрения электронного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оснащение организаций здравоохранения с 2016 года по 2020 год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Повышение уровня квалификации специалистов системы здравоохранения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дистанционного обучения медицинских работников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Равная доступность медицинских работников к образовательным информационным ресурсам для получения качественного образования независимо от мест работы и проживания медицинских работников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КГМА, КГМИППК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ЦЭУ</w:t>
      </w:r>
      <w:r>
        <w:rPr>
          <w:rFonts w:ascii="Arial" w:cs="Arial" w:eastAsia="Arial" w:hAnsi="Arial"/>
          <w:sz w:val="24"/>
          <w:szCs w:val="24"/>
        </w:rPr>
        <w:t xml:space="preserve"> - Центр электронного управления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образованиями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 - Национальный статистический комитет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 - Кыргызская государственная медицинская академия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КГМИППК</w:t>
      </w:r>
      <w:r>
        <w:rPr>
          <w:rFonts w:ascii="Arial" w:cs="Arial" w:eastAsia="Arial" w:hAnsi="Arial"/>
          <w:sz w:val="24"/>
          <w:szCs w:val="24"/>
        </w:rPr>
        <w:t xml:space="preserve"> - Кыргызский государственный медицинский институт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qzn1zvyfzttowjwwe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dalil.kg/document/98404</w:t>
      </w:r>
    </w:hyperlink>
  </w:p>
  <w:p>
    <w:pPr>
      <w:spacing w:after="0" w:before="40"/>
      <w:jc w:val="center"/>
    </w:pPr>
    <w:hyperlink w:history="1" r:id="rId39ploxtshi9hicvzupt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w2z-9qrdtzndyinghmj" Type="http://schemas.openxmlformats.org/officeDocument/2006/relationships/hyperlink" Target="https://dalil.kg/document/12975" TargetMode="External"/><Relationship Id="rIdrfgnuhrvxbw-mx3zvzieq" Type="http://schemas.openxmlformats.org/officeDocument/2006/relationships/hyperlink" Target="https://dalil.kg/document/1602" TargetMode="External"/><Relationship Id="rIdmhbzut6vljvq_ykrh6ogb" Type="http://schemas.openxmlformats.org/officeDocument/2006/relationships/hyperlink" Target="https://dalil.kg/document/270" TargetMode="External"/><Relationship Id="rIdmh_jvdya1qqvfvmlfvmoy" Type="http://schemas.openxmlformats.org/officeDocument/2006/relationships/hyperlink" Target="https://dalil.kg/document/203685" TargetMode="External"/><Relationship Id="rId7rsz8t1oaglltpceqs-jl" Type="http://schemas.openxmlformats.org/officeDocument/2006/relationships/hyperlink" Target="https://dalil.kg/document/98405" TargetMode="External"/><Relationship Id="rId2yva4wmuztdchuahhqjs6" Type="http://schemas.openxmlformats.org/officeDocument/2006/relationships/hyperlink" Target="https://dalil.kg/document/9840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qzn1zvyfzttowjwwe3f" Type="http://schemas.openxmlformats.org/officeDocument/2006/relationships/hyperlink" Target="https://dalil.kg/document/98404" TargetMode="External"/><Relationship Id="rId39ploxtshi9hicvzupt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2026-09-24T21:41:56.496Z</dcterms:created>
  <dcterms:modified xsi:type="dcterms:W3CDTF">2026-09-24T21:41:56.496Z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