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 РЕСПУБЛИКАСЫНЫН ӨКМӨТҮ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ТОКТОМ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2016 года № 512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некоторых вопросах категорирования стрелкового оружия и обычных боеприпасов, находящихся в оперативном управлении государственных военизированных организаций, правоохранительных органов и специальных служб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xwwg2vt3o_muspom2rc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порядка категорирования стрелкового оружия и обычных боеприпасов к нему, находящихся в оперативном управлении государственных военизированных организаций, правоохранительных органов и специальных служб,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k9w0mw47lvkt7siogwv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75qx97vrtzicdbgk1k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по категорированию стрелкового оружия, находящегося в оперативном управлении государственных военизированных организаций, правоохранительных органов и специальных служб,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fxyqodubqzdrcpk5pt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по категорированию обычных боеприпасов к стрелковому оружию, находящемуся в оперативном управлении государственных военизированных организаций, правоохранительных органов и специальных служб,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государственных военизированных организаций, правоохранительных органов и специальных служб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по категорированию стрелкового оружия, находящегося в оперативном управлении государственных военизированных организаций, правоохранительных органов и специальных служб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04ef9kbm0wwyffjv2se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является руководящим документом, устанавливающим порядок категорирования стрелкового оружия.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целей настоящего Положения применяются следующие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государственные военизированные организации, правоохранительные органы и специальные службы</w:t>
      </w:r>
      <w:r>
        <w:rPr>
          <w:rFonts w:ascii="Arial" w:cs="Arial" w:eastAsia="Arial" w:hAnsi="Arial"/>
          <w:sz w:val="24"/>
          <w:szCs w:val="24"/>
        </w:rPr>
        <w:t xml:space="preserve"> - Министерство обороны Кыргызской Республики, другие воинские формирования, правоохранительные органы, Министерство чрезвычайных ситуаций Кыргызской Республики, Министерство транспорта и коммуникаций Кыргызской Республики, Департамент государственного регулирования в сфере охраны окружающей среды и экологической безопасности при Министерстве природных ресурсов, экологии и технического надзора Кыргызской Республики, службы специальной связи и специальные службы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стрелковое оружие</w:t>
      </w:r>
      <w:r>
        <w:rPr>
          <w:rFonts w:ascii="Arial" w:cs="Arial" w:eastAsia="Arial" w:hAnsi="Arial"/>
          <w:sz w:val="24"/>
          <w:szCs w:val="24"/>
        </w:rPr>
        <w:t xml:space="preserve"> - оружие, предназначенное для индивидуального использования, включает в себя револьверы и самозарядные пистолеты, винтовки и карабины, автоматы, автоматические винтовки, легкие пулеметы, а также оружие, предназначенное для группового использования несколькими лицами, составляющими расчет, и включает в себя тяжелые пулеметы, ручные подствольные и станковые гранатометы, переносные зенитные пулеметы, противотанковые ружья, безоткатные орудия, переносные противотанковые ракетные комплексы, переносные зенитные ракетные комплексы и минометы калибра менее 100 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категория</w:t>
      </w:r>
      <w:r>
        <w:rPr>
          <w:rFonts w:ascii="Arial" w:cs="Arial" w:eastAsia="Arial" w:hAnsi="Arial"/>
          <w:sz w:val="24"/>
          <w:szCs w:val="24"/>
        </w:rPr>
        <w:t xml:space="preserve"> - условная учетная характеристика образца стрелкового оружия, установленная в зависимости от его технического состояния, технического ресурса (ресурса и наработки) и необходимости проведения ремонта того или иного вида;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категорирование </w:t>
      </w:r>
      <w:r>
        <w:rPr>
          <w:rFonts w:ascii="Arial" w:cs="Arial" w:eastAsia="Arial" w:hAnsi="Arial"/>
          <w:sz w:val="24"/>
          <w:szCs w:val="24"/>
        </w:rPr>
        <w:t xml:space="preserve">- установление и документальное оформление категории стрелкового оружия и (или) перевод его из одной категории в другую;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предельное состояние</w:t>
      </w:r>
      <w:r>
        <w:rPr>
          <w:rFonts w:ascii="Arial" w:cs="Arial" w:eastAsia="Arial" w:hAnsi="Arial"/>
          <w:sz w:val="24"/>
          <w:szCs w:val="24"/>
        </w:rPr>
        <w:t xml:space="preserve"> - состояние, при котором дальнейшее применение стрелкового оружия по прямому предназначению недопустимо или нецелесообразно, либо его восстановление до исправного или работоспособного состояния технически невозможно или экономически нецелесообразно.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ibsg1ijvqxato4er-gc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Стрелковое оружие в зависимости от технического состояния, технического ресурса (срока эксплуатации), гарантийного срока эксплуатации и (или) гарантийной наработки подразделяется на пять категорий.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Категорирование проводится: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приеме стрелкового оружия от предприятия-изготовителя;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приемке (передаче) стрелкового оружия в воинских частях Вооруженных Сил и других государственных военизированных организациях, правоохранительных органах и специальных службах (далее - учреждения);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истечении предельных нормативных сроков эксплуатации стрелкового оружия, его гарантийного ресурса или при выработке технического ресурса (срока эксплуатации);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выходе стрелкового оружия из строя, а также после аварий, стихийных бедствий, боевых повреждений;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проведении контрольных осмотров стрелкового оружия;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окончания среднего или капитального ремонта стрелкового оружия;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принятии решения о реализации стрелкового оружия или его передаче.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Соответствие установленной категории стрелкового оружия его техническому состоянию проверяется при осмотрах и проверках стрелкового оружия руководителями и другими должностными лицами довольствующих органов, инспектирующими лицами, командирами воинских частей (начальники учреждений), их заместителями по вооружению.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установления категории стрелкового оружия для Вооруженных Сил приказом командира части, а для остальных государственных военизированных организаций, правоохранительных органов и специальных служб - приказом руководителя управлений (отделов) по вооружению назначается комиссия. В случае, если руководитель управления (отдела) по вооружению не уполномочен издавать такой приказ, то комиссия назначается приказом вышестоящего уполномоченного руководителя.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невозможности назначения вышеуказанной комиссии в воинской части категорирование стрелкового оружия проводится комиссией вышестоящего штаба.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определении технического состояния стрелкового оружия члены комиссии должны руководствоваться: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актами государственных военизированных организаций, правоохранительных органов и специальных служб, стандартами, техническими условиями, описаниями и инструкциями по эксплуатации, формулярами, паспортами и другими документами, в которых устанавливаются технические требования, предъявляемые к стрелковому оружию, согласно приложениям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признаками и техническими показателями категорийности (степени годности), установленными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сроками эксплуатации стрелкового оружия или расходом ресурсов, установленными актами государственных военизированных организаций, правоохранительных органов и специальных служб;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документами о результатах испытаний, проверок, если качественное (техническое) состояние стрелкового оружия может быть определено только в ходе испытания (проверки);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перечнем неисправностей и повреждений, определяющих техническое состояние при переводе стрелкового оружия в третью и четвертую категории, согласно приложениям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 При этом учитываются фактические сроки эксплуатации и хранения стрелкового оружия, количество отработанных часов (циклов) и проведенные ремонты.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Не являются основаниями для перевода стрелкового оружия в низшую категорию: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неисправности стрелкового оружия, устраняемые в ходе текущего ремонта в ремонтных подразделениях воинских частей и ремонтных воинских частях;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или неисправность запасных частей инструментов и принадлежностей;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модернизация или конструктивные доработки на стрелковом оружии первой и второй категорий;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замена на стрелковом оружии первой категории в ходе эксплуатации (текущего ремонта) отдельных комплектующих изделий на комплектующие изделия первой и второй категорий;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наружных противокоррозионных покрытий (оксидного, фосфатного и иных) при хранении и эксплуатации стрелкового оружия;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заводские, складские, войсковые испытания нового стрелкового оружия, обкатка (наработка) в пределах установленных годовых норм при их хранении, перегонка нового стрелкового оружия к месту хранения, наличие мелких дефектов, которые могут быть устранены силами и средствами воинских частей (складов).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Перевод стрелкового оружия в низшую категорию оформляется в присутствии членов комиссии воинской части на основании актов технического состояния.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правильностью категорирования стрелкового оружия осуществляют вышестоящие командиры (начальники).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Ответственность за правильность категорирования стрелкового оружия несут командир воинской части (начальник учреждения), его заместитель по вооружению, председатель и члены комиссии по категорированию стрелкового оружия воинской части (учреждения).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Акты утверждаются: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перевод стрелкового оружия из первой категории во вторую категорию - командиром соединения, воинской части и начальником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перевод стрелкового оружия в третью и четвертую категории - начальником управления вооружения (начальником учреждения);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перевод стрелкового оружия в пятую категорию - руководителем министерства или ведомства.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Перевод стрелкового оружия в пятую категорию (далее - в предельную категорию) осуществляется: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истечении установленных сроков службы (годности, эксплуатации) или при выработке им установленного технического назначенного ресурса, если оно по своему техническому состоянию не может быть отремонтировано (восстановлено) и использовано по предназначению;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случаях, когда проведение капитального ремонта технически невозможно (не проводится, не освоено) или экономически нецелесообразно (стоимость капитального ремонта превышает 70 процентов стоимости нового изделия), или его проведение приведет только к временному восстановлению ресурса;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завершении испытаний или опытных работ, проведенных по планам командования;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истечении установленного срока хранения в запасе (резерве) при соблюдении установленных условия хранения, порядка освежения и технического обслуживания, если оно по своему техническому состоянию не может быть отремонтировано (восстановлено) и использовано по прямому назначению;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случаях, когда стрелковое оружие снято с вооружения (снабжения, эксплуатации) и его применение в Вооруженных Силах, государственных военизированных организациях, правоохранительных органах и специальных службах нецелесообразно, его утилизация (разделка, уничтожение) осуществляется без перевода в низшие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Истечение установленных сроков службы (годности, эксплуатации) или выработка технического ресурса стрелкового оружия не может быть основанием для составления актов на перевод его в низшую категорию, если оно по своему техническому состоянию пригодно для дальнейшего использования по предназначению, а возможности его использования не оговорены в соответствующих актах.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переводе стрелкового оружия в низшую (предельную) категорию комиссия, назначенная для определения технического состояния стрелкового оружия, обязана: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подвергнуть предъявленное стрелковое оружие тщательному всестороннему осмотру, провести замеры и проверки, установить степень и причины износа, имеющиеся дефекты;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проверить правильность заполнения формуляра (паспорта) на стрелковое оружие, для которого он предусмотрен, представить его на подпись председателю комиссии и заверить оттиском печати воинской части (военного склада) или учреждения с изображением Государственного герба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формуляры на оружие не предусмотрены, категория определяется по его техническому состоянию;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проверить соответствие условий эксплуатации стрелкового оружия требованиям, изложенным в актах Вооруженных Сил и других государственных военизированных организаций, правоохранительных органов и специальных служб;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продолжительность фактического нахождения стрелкового оружия в эксплуатации, определить целесообразность его ремонта и дальнейшего использования по назначению;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проверить комплектность стрелкового оружия;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составить акт установленной формы с приложением перечня драгоценных металлов и камней, содержащихся в стрелковом оружии, который будет являться основанием для последующего оприходования их после извлечения. Факт отсутствия драгоценных металлов и камней, их недостача в стрелковом оружии указываются в акте;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составить заключение о техническом состоянии стрелкового оружия и внести предложения о наиболее целесообразном порядке его использования (в целом и по каждому устройству).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Должностным лицам, имеющим право утверждать акты технического состояния стрелкового оружия на перевод в предельную категорию, разрешается переводить стрелковое оружие пятой категории в учебное оружие с проведением необходимого ремонта или доработок. В этом случае акты являются основанием для списания боевого стрелкового оружия с учета и оприходования его как учебное стрелковое оружие.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После проведения среднего или капитального ремонта стрелковое оружие переводится во вторую категорию. После проведения ремонта и проверки стрелкового оружия акт технического состояния на соответствие его техническим условиям утверждает командир (начальных) ремонтной воинской части (предприятия). На основании утвержденного акта в формулярах (паспортах) образцов стрелкового оружия делается запись об установлении категории.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выявлении в период гарантийного срока эксплуатации или хранения неисправностей стрелкового оружия, появившихся вследствие некачественного изготовления стрелкового оружия, в воинских частях или учреждениях составляются в письменном виде и направляются на предприятия-изготовители соответствующие претензии, при этом категория стрелкового оружия не изменяется.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составления и предъявления актов-рекламаций предприятиям промышленности или ремонтным предприятиям установлен Руководством по эксплуатации ракетно-артиллерийского стрелкового оружия, утверждаемым министром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wxff5in5ezusts8bciq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После выработки технических ресурсов (сроков эксплуатации) стрелковое оружие при удовлетворительном техническом состоянии в низшую категорию не переводится, а срок эксплуатации его продлевается на основании акта технического состояния по форме, установленной Руководством по учету стрелкового оружия, техники, имущества и других материальных средств, утверждаемым министром обороны Кыргызской Республики для Вооруженных Сил Кыргызской Республики и соответствующих решений руководителей других государственных военизированных организаций, правоохранительных органов и специальных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bhxzz9rcv1qhptxtskh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Стрелковое оружие, требующее ремонта, но не выработавшее установленный технический ресурс (срок эксплуатации), переводится в низшую категорию на основании акта технического состояния.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Если стрелковое оружие переводится в низшую категорию в результате нарушений условий эксплуатации, то к акту технического состояния прилагаются материалы служебного расследования.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Категория стрелкового оружия, для которого технические ресурсы (сроки эксплуатации) не установлены, определяется по его фактическому техническому состоянию в соответствии с критериями, указанными в приложениях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Стрелковое оружие, входящее в состав комплексов, категорируется в соответствии с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Стрелковое оружие иностранного производства категорируется в соответствии с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Категорирование стрелкового оружия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Стрелковое оружие в зависимости от его технического состояния подразделяется на следующие категории: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первая категория - новое, находящееся и бывшее в эксплуатации, не выработавшее гарантийный технический ресурс (срок эксплуатации), у которого канал ствола и патронник не имеют следов коррозии или раковин и шелушения хрома, поля нарезов с дульной части изношены на длине не более одного калибра, удовлетворяет требованиям нормального боя.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каналах стволов 12,7-мм и 14,5-мм пулеметов допускается частичное шелушение и сколы хрома в начале нарезов и на отдельных участках;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вторая категория - находящееся и бывшее в эксплуатации, выработавшее гарантийный технический ресурс (срок эксплуатации), пригодное к применению по прямому предназначению, не выработавшее технический ресурс (срок эксплуатации) до среднего или капитального ремонта, у которого канал ствола и патронник могут иметь поражение в виде сыпи, следов ржавчины раковин, сколов и шелушения хрома, а поля нарезов с дульной части изношены на длине более одного калибра, допускается раздутие канала ствола без выпуклости на наружной поверхности, кроме пистолетов, или рассверление дульной части ствола, удовлетворяет требованиям нормального боя;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третья категория - требующее среднего ремонта в условиях стационарных ремонтных предприятиях;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четвертая категория - выработавшее технический ресурс (срок эксплуатации) до капитального ремонта и требующее капитального ремонта с заменой или изготовлением деталей в условиях стационарных ремонтных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пятая категория - не пригодное к применению по прямому предназначению, восстановление которого технически невозможно или экономически нецелесообразно.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Макеты и музейные экспонаты оружия, изготовленные промышленным способом или путем переделки из боевого (учебного) оружия на базах (складах), не категорируются.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Основными частями оружия, техническое состояние которых позволяет перевести в пятую категорию,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ствол со ствольной коробкой - для винтовок и карабинов (с несменными стволами);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ствольная коробка - для автоматов и пулеметов;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ствольная и затворная коробка - для пистолетов-пулеметов;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рамка и (или) затвор - для пистолетов и револьверов.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Неисправности и повреждения, определяющие техническое состояние, в соответствии с которыми осуществляется категорирование стрелкового оружия, приведены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, ресурс (живучесть) стволов стрелкового оружия - в </w:t>
      </w:r>
      <w:r>
        <w:rPr>
          <w:rFonts w:ascii="Arial" w:cs="Arial" w:eastAsia="Arial" w:hAnsi="Arial"/>
          <w:sz w:val="24"/>
          <w:szCs w:val="24"/>
        </w:rPr>
        <w:t xml:space="preserve">приложении 4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по категорированию стрелкового оружия, находящемуся в оперативном управлении государственных, военизированных организаций, правоохранительных органов и специальных служб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неисправностей и повреждений, определяющих техническое состояние стрелкового оружия при переводе его в третью и четвертую категории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1017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Неисправности и повреждения, являющихся основанием для перевода стрелкового оружия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третью категорию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четвертую категорию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износ или срыв винтовых и червячных передач, а также резьбовых соединений, восстановление которых производится наплавкой с последующей механической обработкой или изготовлением деталей с категорийными или пригоночными размерами;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износ частей оружия, вызывающий необходимость постановки запасных частей с ремонтными (категорийными или повышенными) размерами на изготовление таких частей по рисункам Руководства по среднему ремонту деталей или износ деталей оружия, требующий проведения гальванической обработки до 60% деталей;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износ станка, вертлюга, основания, люльки, постели, для устранения которых необходимы термическая обработка, правка их в приспособлениях и проверка выпрямленных частей;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обрыв или замыкание витков обмотки электроспуска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износ деталей оружия, восстановление которых требует хромирования;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износ деталей автоматики оружия, для устранения которого необходима наплавка с последующей механической обработкой;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нарушение прессовых посадок газовой каморы, колодки мушки, прицельной колодки и др. на несменных стволах;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качка планки (кронштейна) для оптического или ночного прицела, закрепленной на ствольной коробке;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неисправности или повреждения (излом, износ, трещины, раздутие, разрывы, обгорание, изгиб) частей оружия, требующие замены негодных деталей (сборочных единиц) для изготовления которых необходима сложная механическая и термическая обработка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по категорированию стрелкового оружия, находящемуся в оперативном управлении государственных военизированных организаций, правоохранительных органов и специальных служб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Категорирование стрелкового оружия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96"/>
        <w:gridCol w:w="1281"/>
        <w:gridCol w:w="1484"/>
        <w:gridCol w:w="1484"/>
        <w:gridCol w:w="1794"/>
        <w:gridCol w:w="1676"/>
        <w:gridCol w:w="1464"/>
      </w:tblGrid>
      <w:tr>
        <w:tc>
          <w:tcPr>
            <w:tcW w:type="dxa" w:w="99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</w:t>
            </w:r>
          </w:p>
        </w:tc>
        <w:tc>
          <w:tcPr>
            <w:tcW w:type="dxa" w:w="12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Специальная часть</w:t>
            </w:r>
          </w:p>
        </w:tc>
        <w:tc>
          <w:tcPr>
            <w:tcW w:type="dxa" w:w="296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Стволы</w:t>
            </w:r>
          </w:p>
        </w:tc>
        <w:tc>
          <w:tcPr>
            <w:tcW w:type="dxa" w:w="179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Минометы калибров до 100 мм</w:t>
            </w:r>
          </w:p>
        </w:tc>
        <w:tc>
          <w:tcPr>
            <w:tcW w:type="dxa" w:w="167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Гранатометы</w:t>
            </w:r>
          </w:p>
        </w:tc>
        <w:tc>
          <w:tcPr>
            <w:tcW w:type="dxa" w:w="146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Стрелковое оружие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ППРК, ПЗРК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артиллерийских систем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вкладные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Новые, находящиеся и бывшие в использовании, исправные, не выработавшие гарантийный технический ресурс (срок эксплуатации)</w:t>
            </w:r>
          </w:p>
        </w:tc>
      </w:tr>
      <w:tr>
        <w:tc>
          <w:tcPr>
            <w:tcW w:type="dxa" w:w="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Первая</w:t>
            </w:r>
          </w:p>
        </w:tc>
        <w:tc>
          <w:tcPr>
            <w:tcW w:type="dxa" w:w="1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 ресурса (живучести) стволов до 25%; удлинение зарядной камеры или износ канала ствола не превышает величину, установленную для перевода во 2-ю категорию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Горизонтальная шаткость ствола не превышает 0-10, износ менее установленного значения или установленной величины</w:t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 ствола не подвергался расшлифовке, износ менее установленного значения или установленной величины</w:t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 ствола без коррозионных раковин, износ с дульной части менее одного калибра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Исправные, выработавшие гарантийный технический ресурс (срок эксплуатации), не выработавшие технический ресурс (срок эксплуатации) до среднего (капитального) ремонта, а также прошедшие средний (капитальный) ремонт</w:t>
            </w:r>
          </w:p>
        </w:tc>
      </w:tr>
      <w:tr>
        <w:tc>
          <w:tcPr>
            <w:tcW w:type="dxa" w:w="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Вторая</w:t>
            </w:r>
          </w:p>
        </w:tc>
        <w:tc>
          <w:tcPr>
            <w:tcW w:type="dxa" w:w="1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 ресурса (живучести) ствола от 25 до 80%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Горизонтальная шаткость ствола от 0-10 до 0-18, откат не превышает 15 мм, выкат 20 мм</w:t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 ствола расшлифован, откат не превышает 15 мм, выкат 20 мм</w:t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Износ на длине более одного калибра, раздутие канала ствола без выпуклостей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Выработавшие технический ресурс (срок эксплуатации) до среднего ремонта и по техническому состоянию требующие среднего ремонта</w:t>
            </w:r>
          </w:p>
        </w:tc>
      </w:tr>
      <w:tr>
        <w:tc>
          <w:tcPr>
            <w:tcW w:type="dxa" w:w="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Третья</w:t>
            </w:r>
          </w:p>
        </w:tc>
        <w:tc>
          <w:tcPr>
            <w:tcW w:type="dxa" w:w="1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 ресурса (живучести) стволов от 80 до 100%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Горизонтальная шаткость ствола более 0-18</w:t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Откат более 15 мм, выкат более 20 мм</w:t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Выработавшие технический ресурс (срок эксплуатации) до капитального ремонта и по техническому состоянию требующие капитального ремонта</w:t>
            </w:r>
          </w:p>
        </w:tc>
      </w:tr>
      <w:tr>
        <w:tc>
          <w:tcPr>
            <w:tcW w:type="dxa" w:w="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Четвертая</w:t>
            </w:r>
          </w:p>
        </w:tc>
        <w:tc>
          <w:tcPr>
            <w:tcW w:type="dxa" w:w="1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устанавливается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 ствола требует правки и расшлифовки деталей в условиях стационарного ремонтного предприятия, откат превышает 15 мм, выкат 20 мм</w:t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Непригодные для применения по прямому предназначению, восстановление которых технически невозможно или экономически нецелесообразно (стоимость капитального ремонта превышает 70% стоимости нового), а также достигшие предельного состояния, предельного или предельно-нормативного срока эксплуатации, установленных в нормативных актах государственных военизированных организаций, правоохранительных органов и специальных служб</w:t>
            </w:r>
          </w:p>
        </w:tc>
      </w:tr>
      <w:tr>
        <w:tc>
          <w:tcPr>
            <w:tcW w:type="dxa" w:w="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Пятая</w:t>
            </w:r>
          </w:p>
        </w:tc>
        <w:tc>
          <w:tcPr>
            <w:tcW w:type="dxa" w:w="1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Положению по категорированию стрелкового оружия, находящемуся в оперативном управлении государственных военизированных организаций, правоохранительных органов и специальных служб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Нормы категорирования стволов артиллерийских орудий по удлинению зарядной каморы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1916"/>
        <w:gridCol w:w="792"/>
        <w:gridCol w:w="1395"/>
        <w:gridCol w:w="1395"/>
        <w:gridCol w:w="1395"/>
        <w:gridCol w:w="954"/>
        <w:gridCol w:w="954"/>
        <w:gridCol w:w="954"/>
      </w:tblGrid>
      <w:tr>
        <w:tc>
          <w:tcPr>
            <w:tcW w:type="dxa" w:w="42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91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артиллерийского орудия</w:t>
            </w:r>
          </w:p>
        </w:tc>
        <w:tc>
          <w:tcPr>
            <w:tcW w:type="dxa" w:w="79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Индекс</w:t>
            </w:r>
          </w:p>
        </w:tc>
        <w:tc>
          <w:tcPr>
            <w:tcW w:type="dxa" w:w="418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мерительного кольца и направляющего диска прибора ПЗК и длины каморы нового ствола, мм</w:t>
            </w:r>
          </w:p>
        </w:tc>
        <w:tc>
          <w:tcPr>
            <w:tcW w:type="dxa" w:w="286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Удлинение зарядной каморы для перевода ствола из одной категории в другую, мм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диаметр мерительного кольца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диаметр направляющего диска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длина каморы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 первой во вторую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 второй в третью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 третьей в пятую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37-мм автоматическая зенитная пушка обр. 1939 г. АЭП-37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52-П-167М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37,85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45,9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57-мм противотанковая пушка обр. 1943 г. ЗИС-2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52-П-271А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59,13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83,6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57-мм автоматическая зенитная пушка С-60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52-П-281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59,13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91,0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76-мм пушка обр. 1942 г. ЗИС-З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52-П-354У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77,83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83,6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100-мм полевая пушка обр. 1944 г. (БС-3)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52-П-412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103,19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139,8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100-мм зенитная пушка КС-19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52-П-415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103,19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139,8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Данными, приведенными в графе 6, необходимо пользоваться только в том случае, если в формулярах орудия нет указаний о длине зарядной каморы для нового </w:t>
      </w:r>
      <w:r>
        <w:rPr>
          <w:rFonts w:ascii="Arial" w:cs="Arial" w:eastAsia="Arial" w:hAnsi="Arial"/>
          <w:sz w:val="24"/>
          <w:szCs w:val="24"/>
        </w:rPr>
        <w:t xml:space="preserve">ствола, измеренной прибором ПЗК.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Положению по категорированию стрелкового оружия, находящемуся в оперативном управлении государственных военизированных организаций, правоохранительных органов и специальных служб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Ресурс (живучесть)(1) стволов артиллерийских и зенитных артиллерийских систем, минометов, стрелкового оружия и средств ближнего боя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4079"/>
        <w:gridCol w:w="1557"/>
        <w:gridCol w:w="4118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0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образца</w:t>
            </w:r>
          </w:p>
        </w:tc>
        <w:tc>
          <w:tcPr>
            <w:tcW w:type="dxa" w:w="15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Индекс</w:t>
            </w:r>
          </w:p>
        </w:tc>
        <w:tc>
          <w:tcPr>
            <w:tcW w:type="dxa" w:w="41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Ориентировочный ресурс (живучесть) ствола, количество выстрелов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АРТИЛЛЕРИЙСКИЕ И ЗЕНИТНЫЕ АРТИЛЛЕРИЙСКИЕ СИСТЕМЫ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Живучесть стволов артиллерийских и зенитных артиллерийских систем, категорируемых по удлинению зарядной каморы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 мм автоматическая зенитная пушка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АЗП-37-1</w:t>
            </w:r>
          </w:p>
        </w:tc>
        <w:tc>
          <w:tcPr>
            <w:tcW w:type="dxa" w:w="4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57-мм автоматическая зенитная пушка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С-60</w:t>
            </w:r>
          </w:p>
        </w:tc>
        <w:tc>
          <w:tcPr>
            <w:tcW w:type="dxa" w:w="4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76-мм пушка обр.1942 г.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ЗИС-3</w:t>
            </w:r>
          </w:p>
        </w:tc>
        <w:tc>
          <w:tcPr>
            <w:tcW w:type="dxa" w:w="4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1800/2000(2)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100-мм полевая пушка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БС-3</w:t>
            </w:r>
          </w:p>
        </w:tc>
        <w:tc>
          <w:tcPr>
            <w:tcW w:type="dxa" w:w="4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1600/700(3)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100-мм зенитная пушка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КС-19</w:t>
            </w:r>
          </w:p>
        </w:tc>
        <w:tc>
          <w:tcPr>
            <w:tcW w:type="dxa" w:w="4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Живучесть стволов артиллерийских систем, категорируемых по износу канала ствола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мм автоматическая пушка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2А42</w:t>
            </w:r>
          </w:p>
        </w:tc>
        <w:tc>
          <w:tcPr>
            <w:tcW w:type="dxa" w:w="4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73-мм гладкоствольное орудие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2А28</w:t>
            </w:r>
          </w:p>
        </w:tc>
        <w:tc>
          <w:tcPr>
            <w:tcW w:type="dxa" w:w="4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МИНОМЕТЫ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82-мм автоматический миномет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2Б9 (2К21)</w:t>
            </w:r>
          </w:p>
        </w:tc>
        <w:tc>
          <w:tcPr>
            <w:tcW w:type="dxa" w:w="4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82-мм миномет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2Б14-1</w:t>
            </w:r>
          </w:p>
        </w:tc>
        <w:tc>
          <w:tcPr>
            <w:tcW w:type="dxa" w:w="4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СТРЕЛКОВОЕ ОРУЖИЕ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9-мм пистолет Макарова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ПМ</w:t>
            </w:r>
          </w:p>
        </w:tc>
        <w:tc>
          <w:tcPr>
            <w:tcW w:type="dxa" w:w="4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9-мм автоматический пистолет Стечкина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АПС</w:t>
            </w:r>
          </w:p>
        </w:tc>
        <w:tc>
          <w:tcPr>
            <w:tcW w:type="dxa" w:w="4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9-мм самозарядный пистолет для бесшумной, беспламенной стрельбы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ПБ</w:t>
            </w:r>
          </w:p>
        </w:tc>
        <w:tc>
          <w:tcPr>
            <w:tcW w:type="dxa" w:w="4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9-мм автоматический пистолет для бесшумной, беспламенной стрельбы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АПБ</w:t>
            </w:r>
          </w:p>
        </w:tc>
        <w:tc>
          <w:tcPr>
            <w:tcW w:type="dxa" w:w="4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9-мм пистолет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ПММ, Ярыгина</w:t>
            </w:r>
          </w:p>
        </w:tc>
        <w:tc>
          <w:tcPr>
            <w:tcW w:type="dxa" w:w="4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9-мм винтовка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ВСС</w:t>
            </w:r>
          </w:p>
        </w:tc>
        <w:tc>
          <w:tcPr>
            <w:tcW w:type="dxa" w:w="4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9-мм автомат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УЗИ</w:t>
            </w:r>
          </w:p>
        </w:tc>
        <w:tc>
          <w:tcPr>
            <w:tcW w:type="dxa" w:w="4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9-мм автомат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СР-3</w:t>
            </w:r>
          </w:p>
        </w:tc>
        <w:tc>
          <w:tcPr>
            <w:tcW w:type="dxa" w:w="4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9-мм автомат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 ВАЛ</w:t>
            </w:r>
          </w:p>
        </w:tc>
        <w:tc>
          <w:tcPr>
            <w:tcW w:type="dxa" w:w="4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9-мм пистолет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СР-1</w:t>
            </w:r>
          </w:p>
        </w:tc>
        <w:tc>
          <w:tcPr>
            <w:tcW w:type="dxa" w:w="4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9-мм пистолет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СР-2</w:t>
            </w:r>
          </w:p>
        </w:tc>
        <w:tc>
          <w:tcPr>
            <w:tcW w:type="dxa" w:w="4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9-мм пистолет-пулемет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АЕК-919</w:t>
            </w:r>
          </w:p>
        </w:tc>
        <w:tc>
          <w:tcPr>
            <w:tcW w:type="dxa" w:w="4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9-мм пистолет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Джерико</w:t>
            </w:r>
          </w:p>
        </w:tc>
        <w:tc>
          <w:tcPr>
            <w:tcW w:type="dxa" w:w="4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9-мм пистолет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GLOCK</w:t>
            </w:r>
          </w:p>
        </w:tc>
        <w:tc>
          <w:tcPr>
            <w:tcW w:type="dxa" w:w="4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5,45-мм пистолет самозарядный малогабаритный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ПСМ</w:t>
            </w:r>
          </w:p>
        </w:tc>
        <w:tc>
          <w:tcPr>
            <w:tcW w:type="dxa" w:w="4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7,62-мм пистолет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ТТ</w:t>
            </w:r>
          </w:p>
        </w:tc>
        <w:tc>
          <w:tcPr>
            <w:tcW w:type="dxa" w:w="4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7,62-мм снайперская винтовка Драгунова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СВД</w:t>
            </w:r>
          </w:p>
        </w:tc>
        <w:tc>
          <w:tcPr>
            <w:tcW w:type="dxa" w:w="4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7,62-мм снайперская винтовка Мосина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СВМ</w:t>
            </w:r>
          </w:p>
        </w:tc>
        <w:tc>
          <w:tcPr>
            <w:tcW w:type="dxa" w:w="4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7,62-мм самозарядный карабин Симонова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СКС</w:t>
            </w:r>
          </w:p>
        </w:tc>
        <w:tc>
          <w:tcPr>
            <w:tcW w:type="dxa" w:w="4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7,62-мм автомат Калашникова и его модификации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</w:t>
            </w:r>
          </w:p>
        </w:tc>
        <w:tc>
          <w:tcPr>
            <w:tcW w:type="dxa" w:w="4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7,62-мм пулемет Калашникова и его модификации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ПК, ПКМ</w:t>
            </w:r>
          </w:p>
        </w:tc>
        <w:tc>
          <w:tcPr>
            <w:tcW w:type="dxa" w:w="4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7,62-мм пулемет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РПД-44, РП-46, Печенег</w:t>
            </w:r>
          </w:p>
        </w:tc>
        <w:tc>
          <w:tcPr>
            <w:tcW w:type="dxa" w:w="4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7,62-мм снайперская винтовка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Steyr</w:t>
            </w:r>
          </w:p>
        </w:tc>
        <w:tc>
          <w:tcPr>
            <w:tcW w:type="dxa" w:w="4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5,45-мм автомат АК и его модификации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АК-74, АКС</w:t>
            </w:r>
          </w:p>
        </w:tc>
        <w:tc>
          <w:tcPr>
            <w:tcW w:type="dxa" w:w="4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5,45-мм автомат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АН-94</w:t>
            </w:r>
          </w:p>
        </w:tc>
        <w:tc>
          <w:tcPr>
            <w:tcW w:type="dxa" w:w="4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5,45-мм, 7,62-мм ручной пулемет Калашникова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РПК, РПК-74</w:t>
            </w:r>
          </w:p>
        </w:tc>
        <w:tc>
          <w:tcPr>
            <w:tcW w:type="dxa" w:w="4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12,7-мм пулемет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НСВС</w:t>
            </w:r>
          </w:p>
        </w:tc>
        <w:tc>
          <w:tcPr>
            <w:tcW w:type="dxa" w:w="4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12,7-мм пулемет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НСВТ</w:t>
            </w:r>
          </w:p>
        </w:tc>
        <w:tc>
          <w:tcPr>
            <w:tcW w:type="dxa" w:w="4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12,7-мм пулемет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ДШК, ДШКМ, ДШКМТ</w:t>
            </w:r>
          </w:p>
        </w:tc>
        <w:tc>
          <w:tcPr>
            <w:tcW w:type="dxa" w:w="4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14,5-мм крупнокалиберный пулемет Владимирова, танковый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КПВТ</w:t>
            </w:r>
          </w:p>
        </w:tc>
        <w:tc>
          <w:tcPr>
            <w:tcW w:type="dxa" w:w="4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14,5-мм зенитная установка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ЗПУ-4</w:t>
            </w:r>
          </w:p>
        </w:tc>
        <w:tc>
          <w:tcPr>
            <w:tcW w:type="dxa" w:w="4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14,5-мм установка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ЗУ-2</w:t>
            </w:r>
          </w:p>
        </w:tc>
        <w:tc>
          <w:tcPr>
            <w:tcW w:type="dxa" w:w="4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15-мм сигнальный пистолет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Мартирка</w:t>
            </w:r>
          </w:p>
        </w:tc>
        <w:tc>
          <w:tcPr>
            <w:tcW w:type="dxa" w:w="4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14,5-мм вкладной ствол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У5ТС, 2А46</w:t>
            </w:r>
          </w:p>
        </w:tc>
        <w:tc>
          <w:tcPr>
            <w:tcW w:type="dxa" w:w="4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23-мм вкладной ствол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Д-30, БС-3, Д-56, М-30</w:t>
            </w:r>
          </w:p>
        </w:tc>
        <w:tc>
          <w:tcPr>
            <w:tcW w:type="dxa" w:w="4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23-мм зенитная самоходная установка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ЗСУ-23-4</w:t>
            </w:r>
          </w:p>
        </w:tc>
        <w:tc>
          <w:tcPr>
            <w:tcW w:type="dxa" w:w="4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23-мм зенитная установка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ЗУ-23-2</w:t>
            </w:r>
          </w:p>
        </w:tc>
        <w:tc>
          <w:tcPr>
            <w:tcW w:type="dxa" w:w="4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26-мм сигнальный пистолет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СПШ</w:t>
            </w:r>
          </w:p>
        </w:tc>
        <w:tc>
          <w:tcPr>
            <w:tcW w:type="dxa" w:w="4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26-мм сигнальный пистолет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СП-81</w:t>
            </w:r>
          </w:p>
        </w:tc>
        <w:tc>
          <w:tcPr>
            <w:tcW w:type="dxa" w:w="4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(1) Данные получены при стрельбе боекомплектами ручных типов снарядов (патрон, гранат).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(2) В числителе приведена ориентировочная живучесть ствола для снаряда с медным ведущим пояском; в знаменателе - ориентировочная живучесть ствола для снаряда с железокерамическим ведущим пояском.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(3) Там же.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к Положению по категорированию стрелкового оружия, находящемуся в оперативном управлении государственных военизированных организаций, правоохранительных органов и специальных служб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Нормы категорирования стволов минометов и гранатометов по износу канала ствола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2353"/>
        <w:gridCol w:w="1181"/>
        <w:gridCol w:w="2074"/>
        <w:gridCol w:w="2074"/>
        <w:gridCol w:w="2074"/>
      </w:tblGrid>
      <w:tr>
        <w:tc>
          <w:tcPr>
            <w:tcW w:type="dxa" w:w="42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235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вооружения</w:t>
            </w:r>
          </w:p>
        </w:tc>
        <w:tc>
          <w:tcPr>
            <w:tcW w:type="dxa" w:w="118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Индекс</w:t>
            </w:r>
          </w:p>
        </w:tc>
        <w:tc>
          <w:tcPr>
            <w:tcW w:type="dxa" w:w="622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Допустимые пределы, мм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чертежу основного производства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всей длине каналов ствола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отдельных участках каналов стволов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82-мм миномет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2Б9, 2Б14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=0,1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82,4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82,5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мм гранатометы РПГ-7, РПГ-7Д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6Г3, 6Г5М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=0,17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40,3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82-мм станковый гранатомет СГ-82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52-Г-662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=0,46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73-мм станковый гранатомет СПГ-9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6Г6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=0,06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73,2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73-мм станковый гранатомет СПГ-9Д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6Г7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=0,06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73,2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73-мм станковый гранатомет СПГ-9М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6Г13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=0,06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73,2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73-мм станковый гранатомет СПГ-9ДМ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6Г14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=0,06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73,2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o6nngwzxuo5hssoqul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dalil.kg/document/98647</w:t>
      </w:r>
    </w:hyperlink>
  </w:p>
  <w:p>
    <w:pPr>
      <w:spacing w:after="0" w:before="40"/>
      <w:jc w:val="center"/>
    </w:pPr>
    <w:hyperlink w:history="1" r:id="rIdgdqhmuhkse6hvlkfot9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wwg2vt3o_muspom2rcbd" Type="http://schemas.openxmlformats.org/officeDocument/2006/relationships/hyperlink" Target="https://dalil.kg/document/159941" TargetMode="External"/><Relationship Id="rIdk9w0mw47lvkt7siogwvsf" Type="http://schemas.openxmlformats.org/officeDocument/2006/relationships/hyperlink" Target="https://dalil.kg/document/203685" TargetMode="External"/><Relationship Id="rIde75qx97vrtzicdbgk1kei" Type="http://schemas.openxmlformats.org/officeDocument/2006/relationships/hyperlink" Target="https://dalil.kg/document/98647#p1" TargetMode="External"/><Relationship Id="rIdqfxyqodubqzdrcpk5pt4o" Type="http://schemas.openxmlformats.org/officeDocument/2006/relationships/hyperlink" Target="https://dalil.kg/document/98648" TargetMode="External"/><Relationship Id="rId04ef9kbm0wwyffjv2sek_" Type="http://schemas.openxmlformats.org/officeDocument/2006/relationships/hyperlink" Target="https://dalil.kg/document/159941" TargetMode="External"/><Relationship Id="rIdibsg1ijvqxato4er-gcm7" Type="http://schemas.openxmlformats.org/officeDocument/2006/relationships/hyperlink" Target="https://dalil.kg/document/159941" TargetMode="External"/><Relationship Id="rIdwxff5in5ezusts8bciqwb" Type="http://schemas.openxmlformats.org/officeDocument/2006/relationships/hyperlink" Target="https://dalil.kg/document/159941" TargetMode="External"/><Relationship Id="rIdbhxzz9rcv1qhptxtskhpf" Type="http://schemas.openxmlformats.org/officeDocument/2006/relationships/hyperlink" Target="https://dalil.kg/document/15994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o6nngwzxuo5hssoqulqu" Type="http://schemas.openxmlformats.org/officeDocument/2006/relationships/hyperlink" Target="https://dalil.kg/document/98647" TargetMode="External"/><Relationship Id="rIdgdqhmuhkse6hvlkfot9f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2026-09-24T11:31:51.300Z</dcterms:created>
  <dcterms:modified xsi:type="dcterms:W3CDTF">2026-09-24T11:31:51.300Z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