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rtrs2dfzv1tpgy61mn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2016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__geemqgaeklbwt9pr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rbxqvoc4thoeb2swp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процесса", инициированного депутатами Жогорку Кенеша Кыргызской Республики Д.Бекешевым, А.Алтыбаевой, М.Жеенчороевым, У.Кыдыралиевым, Д.Джумабековым, Т.Исакуновой, М.Бакировым, Жунус уулу А., А.Акматовым и А.Шыкмаматовым.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ноября 2016 года № 597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rhmzwdo9hs_xqo1k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процесса", инициированного депутатами Жогорку Кенеша Кыргызской Республики Д.Бекешевым, А.Алтыбаевой, М.Жеенчороевым, У.Кыдыралиевым, Д.Джумабековым, Т.Исакуновой, М.Бакировым, Жунус уулу А., А.Акматовым и А.Шыкмаматовым,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предлагаемым изменениям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расследование уголовных дел по </w:t>
      </w:r>
      <w:r>
        <w:rPr>
          <w:rFonts w:ascii="Arial" w:cs="Arial" w:eastAsia="Arial" w:hAnsi="Arial"/>
          <w:sz w:val="24"/>
          <w:szCs w:val="24"/>
        </w:rPr>
        <w:t xml:space="preserve">статье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предусматривающей уголовную ответственность за вмешательство с использованием должностного или служебного положения в осуществление избирательной комиссией, комиссией по проведению референдума ее полномочий, установленных законодательством о выборах и референдумах, с целью повлиять на ее решения, а именно: требование или указание должностного лица по вопросам регистрации кандидатов, списков кандидатов, подсчета голосов избирателей, участников референдума и по иным вопросам, относящимся к исключительной компетенции избирательной комиссии, комиссии по проведению референдума, отнести к подследственности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предлагаемая норма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104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zwuw1kxr5bbvayzu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уголовное преследование должностных лиц государственных органов относится к компетенции 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предлагаемым изменениям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исключить подкуп в качестве квалифицирующего признака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однако данное предложение ничем не обосновано.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считаем целесообразным оставить пункт 1 части 3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без изменения по причине того, что подкуп может быть способом в воспрепятствовании осуществлению гражданином своих избирательных прав или права участвовать в референдуме, а также работе избирательных комиссий или комиссий по проведению референдума, и может выражаться в предоставлении любых имущественных благ кандидату в депутаты за снятие своей кандидатуры, а также гражданину за неучастие в выборах или референдуме, либо члену избирательной комиссии за неучастие в работе избирательной комиссии, либо любому лицу за воспрепятствование работе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предлагается за указанное в части 1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деяние установить наказание в виде штрафа, размер которого варьируется от двухсот до трехсот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полагаем, что данное положение является потенциально коррупционным поскольку предоставляет право суду, по своему усмотрению, не руководствуясь четкими, законодательно закрепленными критериями, применять соответствующие санкции.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по санкциям отмечаем, что в настоящее время в законодательстве отсутствует документ, устанавливающий порядок определения размеров санкций за то или иное преступление.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справке-обосновании к законопроекту также не обозначен механизм определения либо критерии, по которым определялся размер санкций за совершение вышеуказанного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абзацу третьему пункта 1 части 1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2 проекта Закона относительно изменения редакции части 1 </w:t>
      </w:r>
      <w:r>
        <w:rPr>
          <w:rFonts w:ascii="Arial" w:cs="Arial" w:eastAsia="Arial" w:hAnsi="Arial"/>
          <w:sz w:val="24"/>
          <w:szCs w:val="24"/>
        </w:rPr>
        <w:t xml:space="preserve">статьи 140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полагали бы целесообразным определить конкретный круг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использование современных технологий, в частности применение биометрических данных граждан Кыргызской Республики, обладающих избирательным правом, фактически, по нашему мнению, исключает возможность голосования избирателей за другое лицо или группу лиц во время проведения какого-либо рода избирательной кампании.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предложили бы дополнительно изучить возможность и определенную необходимость включения части четвертой в </w:t>
      </w:r>
      <w:r>
        <w:rPr>
          <w:rFonts w:ascii="Arial" w:cs="Arial" w:eastAsia="Arial" w:hAnsi="Arial"/>
          <w:sz w:val="24"/>
          <w:szCs w:val="24"/>
        </w:rPr>
        <w:t xml:space="preserve">статью 139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предлагаемым изменениям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ввести административную ответственность за непредставление ответа или нарушение срока рассмотрения заявления (жалобы) избирательными комиссиями.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вопросы обжалования решений и (или) действий (бездействия) избирательных комиссий, нарушающих избирательные права субъектов избирательного процесса, урегулированы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статей 42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вышеотмеченными статьями у граждан есть возможность обжаловать действие (в случае нарушения срока рассмотрения заявления (жалобы) или же бездействие (в случае непредоставления ответа) избирательных комиссий согласно следующему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и (или) действия (бездействие) участковых избирательных комиссий, их должностных лиц обжалуются в территориальную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и (или) действия (бездействие) территориальных избирательных комиссий, их должностных лиц обжалуются в Центральную комиссию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и (или) действия (бездействие) Центральной избирательной комиссии по выборам и проведению референдумов Кыргызской Республики обжалуются в суд первой инстанции, решение суда первой инстанции - в Верховный суд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Приведенный выше порядок исключает возможность привлечения должностных лиц к административной ответственности, ввиду чего считаем необходимым пересмотреть статью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соблюдению требований нормотворческой техники при оформлении проекта Закона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77 и 78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бланкетные предписания в законопроекте могут отсылать: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отрасль законодательства (например, "в порядке, предусмотренном гражданским законодательством");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вид законодательного акта (например, регулируются конституционным законом, законом, кодексом);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сферу регулирования (например, "регулируется законом в сфере недропользования" или "регулируется законом в сфере лицензионно-разрешительной системы");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определенные правила (например, "по правилам гражданского судопроизводства").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бланкетные ссылки на законодательство в целом (например, "регулируются в соответствии с законодательством").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 пункте 1 части 1 статьи 4 проекта Закона слово "законодательством"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законопроектом предлагается установить, что законопроект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Правительству Кыргызской Республики и Центральной комиссии по выборам и проведению референдумов Кыргызской Республики дается поручение привести свои нормативные правовые акты в соответствии с данным Законом и принять меры по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согласно пункту 2 части 1 статьи 4 проекта Закона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содержание бланкетной (отсылочной) нормы влечет за собой возникновение временного отрезка, в течение которого общественные отношения не будут урегулированы в результате того, что норма прямого действия, на которую идет отсылка, еще не принята, что является потенциально коррупционной нормой.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части 1 статьи 5 проекта Закона отмечаем, что согласно пункту 57 вышеуказанной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 статья о порядке вступления в силу вводится в законопроект в том случае, если необходимо установить особый порядок вступления в силу данного Закона, отличный от порядка,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 Если законопроект не предусматривает особого порядка вступления его в силу, то указанная статья в текст проекта может не вводиться.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необходимо указать в проекте Закона срок вступления его в силу, то предлагаем учесть, что согласно З</w:t>
      </w:r>
      <w:r>
        <w:rPr>
          <w:rFonts w:ascii="Arial" w:cs="Arial" w:eastAsia="Arial" w:hAnsi="Arial"/>
          <w:sz w:val="24"/>
          <w:szCs w:val="24"/>
        </w:rPr>
        <w:t xml:space="preserve">акон</w:t>
      </w:r>
      <w:r>
        <w:rPr>
          <w:rFonts w:ascii="Arial" w:cs="Arial" w:eastAsia="Arial" w:hAnsi="Arial"/>
          <w:sz w:val="24"/>
          <w:szCs w:val="24"/>
        </w:rPr>
        <w:t xml:space="preserve">у Кыргызской Республики "О нормативных правовых актах Кыргызской Республики" одним из способов обеспечения законности нормативного правового акта является включение его в Государственный реестр нормативных правовых актов, которое осуществляется в течение 7 рабочих дней со дня официального опубликования. Для этого предлагаем часть 1 статьи 5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семи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справке-обоснованию, данный законопроект направлен на усиление уголовной и административной ответственности за совершение правонарушений в избирательном процессе, а также уточнение некоторых вопросов, связанных с полномочиями и статусом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справке-обосновании к законопроекту отмечено, что принятие представленного законопроекта не потребует выделения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пунктом 2 статьи 4 проекта Закона предусматривается выплата вознаграждения членам территориальных и участковых избирательных комиссий на период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предварительные расчета Центральной комиссии по выборам и проведению референдумов Кыргызской Республики по данному вопросу, потребность в финансовых средствах на выплату вознаграждения членам участковой избирательной комиссии при проведении референдума и выборов депутатов местных кенешей в 2016 году составит порядка 142,6 млн. сомов (с учетом отчислений), в 2017 году - 285,2 млн. сомов, которые необходимо изыскать.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возможным принятие данного законопроекта с учетом изложенных в данном заключении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nrwefi1flm9roy8ho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dalil.kg/document/98687</w:t>
      </w:r>
    </w:hyperlink>
  </w:p>
  <w:p>
    <w:pPr>
      <w:spacing w:after="0" w:before="40"/>
      <w:jc w:val="center"/>
    </w:pPr>
    <w:hyperlink w:history="1" r:id="rIdtnnuq9orxh0wtb_xt6v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trs2dfzv1tpgy61mnnb" Type="http://schemas.openxmlformats.org/officeDocument/2006/relationships/hyperlink" Target="https://dalil.kg/document/230000286" TargetMode="External"/><Relationship Id="rIdn__geemqgaeklbwt9prb-" Type="http://schemas.openxmlformats.org/officeDocument/2006/relationships/hyperlink" Target="https://dalil.kg/document/203685" TargetMode="External"/><Relationship Id="rIdzrbxqvoc4thoeb2swpvum" Type="http://schemas.openxmlformats.org/officeDocument/2006/relationships/hyperlink" Target="https://dalil.kg/document/98687#p1" TargetMode="External"/><Relationship Id="rIdgdrhmzwdo9hs_xqo1kehi" Type="http://schemas.openxmlformats.org/officeDocument/2006/relationships/hyperlink" Target="https://dalil.kg/document/202913" TargetMode="External"/><Relationship Id="rIdxpzwuw1kxr5bbvayzucf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nrwefi1flm9roy8hofa" Type="http://schemas.openxmlformats.org/officeDocument/2006/relationships/hyperlink" Target="https://dalil.kg/document/98687" TargetMode="External"/><Relationship Id="rIdtnnuq9orxh0wtb_xt6v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2026-09-24T23:48:33.659Z</dcterms:created>
  <dcterms:modified xsi:type="dcterms:W3CDTF">2026-09-24T23:48:33.659Z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