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mjx_u_6hnrg1zibpm80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сентября 2017 года № 602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января 2017 года № 53</w:t>
      </w:r>
    </w:p>
    <w:p>
      <w:pPr>
        <w:spacing w:after="120"/>
        <w:jc w:val="both"/>
      </w:pPr>
      <w:r>
        <w:rPr>
          <w:rFonts w:ascii="Arial" w:cs="Arial" w:eastAsia="Arial" w:hAnsi="Arial"/>
          <w:sz w:val="24"/>
          <w:szCs w:val="24"/>
        </w:rPr>
        <w:t xml:space="preserve">Об утверждении Плана действий Правительства Кыргызской Республики по реализации Программы Правительства Кыргызской Республики "Доверие и единство" на 2017 год</w:t>
      </w:r>
    </w:p>
    <w:p>
      <w:pPr>
        <w:spacing w:after="120"/>
        <w:jc w:val="both"/>
      </w:pPr>
      <w:r>
        <w:rPr>
          <w:rFonts w:ascii="Arial" w:cs="Arial" w:eastAsia="Arial" w:hAnsi="Arial"/>
          <w:sz w:val="24"/>
          <w:szCs w:val="24"/>
        </w:rPr>
        <w:t xml:space="preserve">В целях реализации Программы Правительства Кыргызской Республики "Доверие и единство", утвержденной </w:t>
      </w:r>
      <w:hyperlink w:history="1" r:id="rIdu7xmn8iqlnns795mqnn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9 ноября 2016 года № 1053-VI, в соответствии со статьями 10 и 17 конституционного</w:t>
      </w:r>
      <w:hyperlink w:history="1" r:id="rIdxsb2lvdfz__e5gdp---yp">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hx3salefm8uu1evlpfssh">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Правительства Кыргызской Республики по реализации Программы Правительства Кыргызской Республики "Доверие и единство" на 2017 год (далее - План) согласно приложению.</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исчерпывающие меры по выполнению Плана в установленные сроки;</w:t>
      </w:r>
    </w:p>
    <w:p>
      <w:pPr>
        <w:spacing w:after="120"/>
        <w:jc w:val="both"/>
      </w:pPr>
      <w:r>
        <w:rPr>
          <w:rFonts w:ascii="Arial" w:cs="Arial" w:eastAsia="Arial" w:hAnsi="Arial"/>
          <w:sz w:val="24"/>
          <w:szCs w:val="24"/>
        </w:rPr>
        <w:t xml:space="preserve">- ежемесячно, не позднее 5 числа месяца, следующего за отчетным периодом, представлять для обобщения информацию о выполнении Плана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15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Плана.</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w:t>
      </w:r>
      <w:hyperlink w:history="1" r:id="rIdh2juptbchnx5wrbcytz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0iqeammfhwedfxuwxnc5">
        <w:r>
          <w:rPr>
            <w:rFonts w:ascii="Arial" w:cs="Arial" w:eastAsia="Arial" w:hAnsi="Arial"/>
            <w:color w:val="1D4ED8"/>
            <w:sz w:val="24"/>
            <w:szCs w:val="24"/>
            <w:u w:val="single"/>
          </w:rPr>
          <w:t xml:space="preserve">Плана действий</w:t>
        </w:r>
      </w:hyperlink>
      <w:r>
        <w:rPr>
          <w:rFonts w:ascii="Arial" w:cs="Arial" w:eastAsia="Arial" w:hAnsi="Arial"/>
          <w:sz w:val="24"/>
          <w:szCs w:val="24"/>
        </w:rPr>
        <w:t xml:space="preserve"> Правительства Кыргызской Республики по реализации Программы Правительства Кыргызской Республики "Доверие и единство" на 2016 год от 24 августа 2016 года № 456;</w:t>
      </w:r>
    </w:p>
    <w:p>
      <w:pPr>
        <w:spacing w:after="120"/>
        <w:jc w:val="both"/>
      </w:pPr>
      <w:r>
        <w:rPr>
          <w:rFonts w:ascii="Arial" w:cs="Arial" w:eastAsia="Arial" w:hAnsi="Arial"/>
          <w:sz w:val="24"/>
          <w:szCs w:val="24"/>
        </w:rPr>
        <w:t xml:space="preserve">- </w:t>
      </w:r>
      <w:hyperlink w:history="1" r:id="rId9yhttlw3r0r6trmfdi3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nrxcv3qiunylhzetfpos">
        <w:r>
          <w:rPr>
            <w:rFonts w:ascii="Arial" w:cs="Arial" w:eastAsia="Arial" w:hAnsi="Arial"/>
            <w:color w:val="1D4ED8"/>
            <w:sz w:val="24"/>
            <w:szCs w:val="24"/>
            <w:u w:val="single"/>
          </w:rPr>
          <w:t xml:space="preserve">Антикризисного плана</w:t>
        </w:r>
      </w:hyperlink>
      <w:r>
        <w:rPr>
          <w:rFonts w:ascii="Arial" w:cs="Arial" w:eastAsia="Arial" w:hAnsi="Arial"/>
          <w:sz w:val="24"/>
          <w:szCs w:val="24"/>
        </w:rPr>
        <w:t xml:space="preserve"> действий Правительства Кыргызской Республики на 2016 год" от 12 июля 2016 года № 383.</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ПЛАН ДЕЙСТВИЙ
 Правительства Кыргызской Республики по реализации Программы Правительства Кыргызской Республики "Доверие и единство" на 2017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146"/>
        <w:gridCol w:w="2024"/>
        <w:gridCol w:w="527"/>
        <w:gridCol w:w="615"/>
        <w:gridCol w:w="1110"/>
        <w:gridCol w:w="1651"/>
        <w:gridCol w:w="1741"/>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Мера</w:t>
            </w:r>
          </w:p>
        </w:tc>
        <w:tc>
          <w:tcPr>
            <w:tcW w:type="dxa" w:w="2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w:t>
            </w:r>
          </w:p>
        </w:tc>
        <w:tc>
          <w:tcPr>
            <w:tcW w:type="dxa" w:w="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1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Целевые стратегические ориентиры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комплекс мер макроэкономической политики, направленных на обеспечение стабильности общего уровня цен в стране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инфляции в пределах среднесрочного целевого ориентира в 5-7%, обозначенного в НСУР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МФ,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НБКР, 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или сократить неприоритетные статьи расходов бюджета</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Годовой уровень дефицита бюджета не превышает 5% от ВВП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мораторий на принятие новых расходных обязательств, не подкрепленных источниками финансирования</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Изыскать дополнительные источники доходов</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привлечение новых государственных внешних заимствований при соблюдении минимального уровня льготности займов (грант-элемент) в 35%</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сбалансированного подхода в вопросах внешнего долга при привлечении инвестиций в инфраструктурные объекты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Открытость и действенность органов исполнительной власти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по оценке преимуществ и выявления недостатков членства Кыргызской Республики в ЕАЭС и внести предложения по преодолению проблем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аналитической записки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на межведомственном уровне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Сосредоточение в одном государственном органе параллельных/дублирующих функций; передача ряда функций на аутсорсинг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оптимизации законопроектной деятельности Правительства Кыргызской Республики, улучшению механизмов координации законопроектной деятельности министерств и ведомств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Руководство к действиям для переговоров по пересмотру тарифных обязательств Кыргызской Республики во Всемирной торговой организации в связи с присоединением Кыргызской Республики к Договору о ЕАЭС от 29 мая 2014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Директив переговорной делегации на проведение переговоров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национальную систему экспортного контроля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Приведение в соответствие с Законом Кыргызской Республики "Об экспортном контроле", в части регламентации порядка и условий проведения государственной экспертизы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национальное законодательство в соответствие с международными обязательствами Кыргызской Республики в области нераспространения оружия массового уничтожения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Одобренный проект Закона Кыргызской Республики "О внесении изменений в Закон Кыргызской Республики "Об экспортном контроле"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Руководство по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приказом Министерства экономики Кыргызской Республики Руководства по ГЧП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встречи, семинары, форумы, в том числе выездные семинары в регионах, для представителей министерств, ведомств, ОМСУ, организаций, предприятий и частного сектора по вопросам применения механизмов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о механизмах ГЧП. 150 представителей государственных органов, прошедших тренинги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практические мероприятия по обмену опытом в сфере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сотрудничества в сфере ГЧП с зарубежными странами и партнерами по развитию</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интеграции в единый рынок аудиторских услуг в рамках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на рассмотрение Коллегии ЕЭК проекта Соглашения об аудиторской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единицу шага тарификации на территории Кыргызской Республики в сетях подвижной радиотелефонной связи с 10 секунд до 1 секунды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Правила оказания услуг подвижной радиотелефонной связи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административную ответственность за реализацию SIM-карт без заключения письменного договора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Законопроект о внесении изменений в Кодекс Кыргызской Республики об административной ответственности. Повышение безопасности использования сетей мобильной связи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активную и эффективную внешнюю политику, направленную на создание благоприятных внешнеполитических и внешнеэкономических условий для стабильного развития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организованных внешнеполитических и внешнеэкономических мероприятий и подписанных международных документов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дипломатической защиты суверенитета, территориальной целостности Кыргызской Республики, продолжение работы по юридическому оформлению Государственной границы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спецпредставителя Правительства Кыргызской Республики по приграничным вопросам, МИД</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и интересов граждан Кыргызской Республики за рубежом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подписанных международных документов и мероприятий по защите прав и интересов граждан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нормативные правовые акты по устранению коллизий, пробелов и коррупционных норм в законодательстве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проектов НПА на заседании Межведомственной комиссии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продвижения проектов, разработанных в рамках МВК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постановления Правительства Кыргызской Республики об аккредитационной комиссии независимых экспертов при Министерстве юстиции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Подать на утрату неактуальные государственные стратегические документы в рамках работы Межведомственной комиссии по инвентаризации НПА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стратегических документов, утративших актуальность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приемлемости глобальных целей устойчивого развития и адаптировать к национальным условиям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национальным ЦУР и рекомендации по их включению в политику развития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НСК (по согласованию),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донорские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излишние требования к процессу проведения анализа регулятивного воздействия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о внесении изменений в методику проведения АРВ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пилотный проект по предоставлению государственных услуг по принципу "единого окна" в 4-х отделениях связи Сокулукского района Чуйской области ГП "Кыргызпочтасы"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целей по созданию Центров услуг:</w:t>
            </w:r>
          </w:p>
          <w:p>
            <w:pPr>
              <w:jc w:val="left"/>
            </w:pPr>
            <w:r>
              <w:rPr>
                <w:rFonts w:ascii="Arial" w:cs="Arial" w:eastAsia="Arial" w:hAnsi="Arial"/>
                <w:sz w:val="24"/>
                <w:szCs w:val="24"/>
              </w:rPr>
              <w:t xml:space="preserve">- обеспечение доступности государственных услуг для граждан;</w:t>
            </w:r>
          </w:p>
          <w:p>
            <w:pPr>
              <w:jc w:val="left"/>
            </w:pPr>
            <w:r>
              <w:rPr>
                <w:rFonts w:ascii="Arial" w:cs="Arial" w:eastAsia="Arial" w:hAnsi="Arial"/>
                <w:sz w:val="24"/>
                <w:szCs w:val="24"/>
              </w:rPr>
              <w:t xml:space="preserve">- повышение качества и комфортности получения государственных услуг;</w:t>
            </w:r>
          </w:p>
          <w:p>
            <w:pPr>
              <w:jc w:val="left"/>
            </w:pPr>
            <w:r>
              <w:rPr>
                <w:rFonts w:ascii="Arial" w:cs="Arial" w:eastAsia="Arial" w:hAnsi="Arial"/>
                <w:sz w:val="24"/>
                <w:szCs w:val="24"/>
              </w:rPr>
              <w:t xml:space="preserve">- упрощение процедур получения государственных услуг за счет реализации принципа "единого окна"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ГП "Кыргызпочтасы", МТСР, ГРС, Соцфонд,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Делегировать ряд нормотворческих полномочий Правительства Кыргызской Республики отдельным государственным органам исполнительной власти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Повышение оперативности принятия государственных решений в экономической и социальной сфере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"Пособие"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автоматизированной системы "Пособие" в оставшихся 18 филиалах ГП "Кыргызпочтасы"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ГП "Кыргызпочтасы"</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ГП "Кыргызпочтасы"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муниципальных услуг, входящих в Базовый реестр муниципальных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"Об утверждении стандартов муниципальных услуг, входящих в Базовый реестр муниципальных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государственный портал электронных государственных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государственных услуг. Предоставление гражданам получения государственных услуг удаленно (не посещая государственный орган)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ГУ "Инфо-Система",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мониторинг реализации пилотного проекта по предоставлению государственных услуг по принципу "единого окна"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Аппарат Правительства Кыргызской Республики результатов мониторинга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методологию административных регламентов государственных и муниципальных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распоряжение Правительства Кыргызской Республики от 22 июля 2014 года № 287-р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программное обеспечение на базе проводимого пилотного проекта по выдаче электронных лицензий и разрешений (за исключением лицензий ФКУ, обменных бюро, операторов платежных систем и платежных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пилотного проекта по выдаче электронных лицензий и разрешений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модуль персонификации документов государственного значения АИС "ЗАГС"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в промышленную эксплуатацию модуля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Дополнить АИС "Адресно-справочное бюро" модулем "Бюро находок"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в промышленную эксплуатацию модуля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АИС "Адресный регистр" с другими информационными системами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Адаптация информационных систем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регистр транспортных средств (ТС) и водительского состава (ВС)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обмена данными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Создать базу биометрических данных граждан Кыргызской Республики для выпуска:</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получения государственных услуг в электронном формате</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электронной идентификационной карты гражданина Кыргызской Республики (elD-card);</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01.04.2017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электронного паспорта гражданина Кыргызской Республики (ePassport)</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проведения учета и инвентаризации государственного имущества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правил проведения учета и инвентаризации государственного имущества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госорганы</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АИС "Единый реестр государственного имущества"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программно-технических средств для ведения базы данных "Единый реестр государственного имущества"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ГКИТС, ГУ "Транском"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функционирование межведомственной АИС "Единый реестр государственного имущества Кыргызской Республики" (МАИС ЕРГИ) в целях проведения полномасштабной инвентаризации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Автоматизированный учет государственного имущества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электронный портал о проведении торгов на право заключения договоров аренды государственного имущества, их учета и регистрации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предоставления государственного имущества в аренду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сравнительное исследование уровня оплаты труда специалистов со схожей квалификацией на государственной службе и в частном секторе и подготовить рекомендации по достижению сопоставимого уровня оплаты труда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об итогах сравнительного исследования, с рекомендациями, внесенная в Аппарат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МТСР, МФ, ГКС (по согласованию), НСК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актуальный международный опыт в сфере социального пакета для государственных служащих и подготовить рекомендации о предоставлении социального пакета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об итогах изучения с рекомендациями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МФ, МТСР, ГКС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85</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Макроэкономическая стабильность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Среднесрочный прогноз социально-экономического развития Кыргызской Республики на 2018-2020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Среднесрочного прогноза социально-экономического развития Кыргызской Республики на 2018-2020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2017 год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основных направлений экономической политики на 2017 год. Принятие постановления Правительства Кыргызской Республики и Национального банка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НБКР (по согласованию),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в соответствие 12 нормативных правовых актов в сфере государственных финансов с нормами Бюджетного кодекса Кыргызской Республики, в том числе по вопросам финансирования государственных органов через специальные средства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постановлений Правительства КР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пилотное исполнение бюджетных программ 4 пилотных министерств (Министерство труда и социального развития Кыргызской Республики, Министерство образования и науки Кыргызской Республики, Министерство здравоохранения Кыргызской Республики, Министерство сельского хозяйства, пищевой промышленности и мелиорации Кыргызской Республики) и пилотное получение по ним отчетов об исполнении по бюджетным программам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программного бюджетирования. Повышение эффективности и достижение стратегических целей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цифровую подпись в системе государственных закупок, предусмотрев соответствующие средства в республиканском бюджете 2017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коррупционных рисков и рациональное использование государственных ресурсов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ГУ "Инфо-Система"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Руководство по управлению государственными инвестициями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использования внешних заимствований, реализации инвестиционных проектов и использования грантовых средств, которые проходят через государственный бюджет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поступления средств от приватизации:</w:t>
            </w:r>
          </w:p>
          <w:p>
            <w:pPr>
              <w:jc w:val="left"/>
            </w:pPr>
            <w:r>
              <w:rPr>
                <w:rFonts w:ascii="Arial" w:cs="Arial" w:eastAsia="Arial" w:hAnsi="Arial"/>
                <w:sz w:val="24"/>
                <w:szCs w:val="24"/>
              </w:rPr>
              <w:t xml:space="preserve">- 49% государственного пакета акций ОАО "Эйр "Кыргызстан";</w:t>
            </w:r>
          </w:p>
          <w:p>
            <w:pPr>
              <w:jc w:val="left"/>
            </w:pPr>
            <w:r>
              <w:rPr>
                <w:rFonts w:ascii="Arial" w:cs="Arial" w:eastAsia="Arial" w:hAnsi="Arial"/>
                <w:sz w:val="24"/>
                <w:szCs w:val="24"/>
              </w:rPr>
              <w:t xml:space="preserve">- 100% государственного пакета акций ЗАО "Альфа Телеком"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от приватизации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фискальной политики в Кыргызской Республике на 2017-2030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Предсказуемость, стабильность и преемственность по проведению фискальной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Налогового кодекса Кыргызской Республики (новая редакция)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коллизий, улучшение налогового администрирования, в том числе в части налогового аудита, апелляции и возврата налогов, адекватное развитие налоговых инструментов и гармонизация налогового законодательства с законодательством ЕАЭС.</w:t>
            </w:r>
          </w:p>
          <w:p>
            <w:pPr>
              <w:jc w:val="left"/>
            </w:pPr>
            <w:r>
              <w:rPr>
                <w:rFonts w:ascii="Arial" w:cs="Arial" w:eastAsia="Arial" w:hAnsi="Arial"/>
                <w:sz w:val="24"/>
                <w:szCs w:val="24"/>
              </w:rPr>
              <w:t xml:space="preserve">Улучшение позиции Кыргызстана в международном рейтинге "Ведение бизнеса" к 2019 году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 по всей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рейдовых проверок на 20% к уровню предыдущего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приема налоговой отчетности в электронном виде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предоставляющих налоговую отчетность в электронном виде, на 20% к уровню предыдущего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видов деятельности, осуществляемых на основе добровольного и обязательного патента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налогового администрирования.</w:t>
            </w:r>
          </w:p>
          <w:p>
            <w:pPr>
              <w:jc w:val="left"/>
            </w:pPr>
            <w:r>
              <w:rPr>
                <w:rFonts w:ascii="Arial" w:cs="Arial" w:eastAsia="Arial" w:hAnsi="Arial"/>
                <w:sz w:val="24"/>
                <w:szCs w:val="24"/>
              </w:rPr>
              <w:t xml:space="preserve">Увеличение доходной части бюджета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ОМСУ по делегированию полномочий по сбору налогов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договоров с не менее чем с 6 органами местного самоуправления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процедуру проведение проверок субъектов предпринимательства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порядок проведения проверок субъектов предпринимательства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государственных контролирующих органов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Перечень уполномоченных органов, имеющих право на проведение проверок субъектов предпринимательства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развития ремесленного сектора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из теневого сектора ремесленников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текущей ситуации в экономике и перспектив развития бизнеса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Сравнение уверенности бизнеса и потребителей: измерение индекса делового доверия (BCI) и потребительской уверенности (CCI)</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новую систему финансирования под залог складских расписок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производителей продукции сельского хозяйства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оценки экономической эффективности инвестиционных проектов на основе секторальных и общих индикаторов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методика оценки экономической эффективности инвестиционных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действенные меры при выдаче сертификата на вывоз подкарантинной сельскохозяйственной продукции в Республику Казахстан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ситуаций по ограничениям, принимаемым Республикой Казахстан Договора о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необходимые для приведения системы ветеринарного контроля в соответствие с требованиями ЕАЭС и снятию ветеринарно-санитарного контроля на кыргызско-казахстанском участке государственной границы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ветеринарного контроля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аккредитации ветеринарных диагностических лабораторий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проводить широкий спектр испытаний, согласно международным стандартам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дополнительное включение 15 предприятий животноводческой отрасли в Реестр предприятий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экспорта сельхозпродукции на рынки Российской Федерации и Республики Казахстан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внутригосударственные процедуры по Соглашению с Казахстаном о применении порядка регулирования доступа к услугам железнодорожного транспорта, включая основы тарифной политики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унифицированного тарифа в отношении грузов, перевозимых железнодорожным транспортом, между Кыргызской Республикой и Республикой Казахстан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ГП "Кыргыз темир жолу"</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ЕЭК подготовить предложения о финансировании мероприятий по формированию общего электроэнергетического рынка ЕАЭС с указанием предварительных объемов финансирования по соответствующим источникам финансирования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готовности государств к созданию условий для участия Кыргызской Республики в общем электроэнергетическом рынке Союза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участие Кыргызской Республики в расширении интеграции ЕАЭС с третьими странами, в том числе с Сербией, Китаем, Индией, Ираном, Сингапуром, Израилем, Египтом, Республикой Корея и другими странами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интересов Кыргызской Республики при заключении Меморандумов ЕЭК с третьими странами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выставочных мероприятий по продвижению отечественных товаров на внешний рынок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меморандумы и договоры на поставку отечественных товаров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интервальные количественные значения внешних параметров, используемых при разработке официальных прогнозов социально-экономического развития государств-членов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принятых решением коллегии ЕЭК интервальных количественных значений внешних параметров прогнозу социально-экономического развития Кыргызской Республики на 2018 год и прогноз на 2019-2020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Основные направления скоординированной (согласованной) транспортной политики в рамках ЕАЭС, определение условий и этапов дальнейшего формирования и развития единого транспортного пространства и общего рынка транспортных услуг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формирование и развития единого транспортного пространства и общего рынка транспортных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"дорожную карту" по выполнению Основных направлений скоординированной (согласованной) транспортной политики в рамках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"дорожная карта"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4-х новых ветеринарных лабораторий в городах Талас, Баткен, Каракол, Балыкчы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пищевой безопасности республики и развитие экспорта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модернизацию испытательных лабораторий Центра по стандартизации и метрологии при Министерстве экономики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лабораторий в городах Бишкеке и Ош</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мощности электроснабжающих сетей на автомобильных пунктах пропуска "Торугарт", "Достук", "Иркештам", "Кызыл-Бель", "Кызыл-Кия", "Кайрагач", "Карамык", "Бор-Добо"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новых линий электропередачи для пунктов пропуска/создание условий для эффективной эксплуатации технических систем на пунктах пропуска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МФ, ОАО "НЭХК" (по согласованию),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контрольно-пропускные пункты на 4 участках границы Кыргызской Республики с Республикой Казахстан (Токмок - Автодорожный, Кен-Булун - Автодорожный, Ак-Тилек - Автодорожный, Чалдовар - Автодорожный)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контрольно-пропускных пунктов на 4 участках границы Кыргызской Республики с Республикой Казахстан (Токмок - Автодорожный, Кен-Булун - Автодорожный, Ак-Тилек - Автодорожный, Чалдовар - Автодорожный)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 ГПС, МТД, 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Повышение инвестиционной привлекательности страны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Программы повышения конкурентоспособности с вхождением Кыргызской Республики в топ-50 конкурентоспособных стран мира до 2030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Программу с планом мероприятий, созданием Совета по конкурентоспособности при Правительстве Кыргызской Республики, внутриведомственных и межведомственных аналитических групп, с указанием источников пилотного программного финансирования, расчетами по расходам на реализацию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НИСИ, МФ,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потенциальных инвесторов об инвестиционном климате Кыргызской Республики и потенциале секторов экономики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Подготовленный секторальный анализ и презентационные материалы. Проведение презентаций (roadshow) зарубежом и проведение мероприятий внутри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среднесрочную Стратегию управления государственным долгом Кыргызской Республики на 2017-2019 годы с учетом изменения макроэкономической ситуации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порталы "Made in kg" и "export.gov.kg"</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порталы. Улучшенный доступ к информации об экспортном потенциале страны для иностранных компаний и об экспортных возможностях для местных компаний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10 аукционов и 5 конкурсов на право пользования недрами:</w:t>
            </w:r>
          </w:p>
          <w:p>
            <w:pPr>
              <w:jc w:val="left"/>
            </w:pPr>
            <w:r>
              <w:rPr>
                <w:rFonts w:ascii="Arial" w:cs="Arial" w:eastAsia="Arial" w:hAnsi="Arial"/>
                <w:sz w:val="24"/>
                <w:szCs w:val="24"/>
              </w:rPr>
              <w:t xml:space="preserve">1. Месторождение редкоземельных элементов Кутессай-</w:t>
            </w:r>
            <w:r>
              <w:rPr>
                <w:rFonts w:ascii="Arial" w:cs="Arial" w:eastAsia="Arial" w:hAnsi="Arial"/>
                <w:sz w:val="24"/>
                <w:szCs w:val="24"/>
              </w:rPr>
              <w:t xml:space="preserve">II</w:t>
            </w:r>
            <w:r>
              <w:rPr>
                <w:rFonts w:ascii="Arial" w:cs="Arial" w:eastAsia="Arial" w:hAnsi="Arial"/>
                <w:sz w:val="24"/>
                <w:szCs w:val="24"/>
              </w:rPr>
              <w:t xml:space="preserve"> и месторождение бериллия Калесай - стоимость 10 млн. долл. США.</w:t>
            </w:r>
          </w:p>
          <w:p>
            <w:pPr>
              <w:jc w:val="left"/>
            </w:pPr>
            <w:r>
              <w:rPr>
                <w:rFonts w:ascii="Arial" w:cs="Arial" w:eastAsia="Arial" w:hAnsi="Arial"/>
                <w:sz w:val="24"/>
                <w:szCs w:val="24"/>
              </w:rPr>
              <w:t xml:space="preserve">2. Буроугольные месторождения Кара-Кече и Мин-Куш (участок "Ак-Улак") - стоимость 2 млрд. 500 млн. долл. США.</w:t>
            </w:r>
          </w:p>
          <w:p>
            <w:pPr>
              <w:jc w:val="left"/>
            </w:pPr>
            <w:r>
              <w:rPr>
                <w:rFonts w:ascii="Arial" w:cs="Arial" w:eastAsia="Arial" w:hAnsi="Arial"/>
                <w:sz w:val="24"/>
                <w:szCs w:val="24"/>
              </w:rPr>
              <w:t xml:space="preserve">3. Месторождение бурого угля Сулюкта-Поле № 11 - стоимость 8300000 долл. США.</w:t>
            </w:r>
          </w:p>
          <w:p>
            <w:pPr>
              <w:jc w:val="left"/>
            </w:pPr>
            <w:r>
              <w:rPr>
                <w:rFonts w:ascii="Arial" w:cs="Arial" w:eastAsia="Arial" w:hAnsi="Arial"/>
                <w:sz w:val="24"/>
                <w:szCs w:val="24"/>
              </w:rPr>
              <w:t xml:space="preserve">4. Месторождение каменного угля Туюк-Каргаша - стоимость 3600000 долл. США.</w:t>
            </w:r>
          </w:p>
          <w:p>
            <w:pPr>
              <w:jc w:val="left"/>
            </w:pPr>
            <w:r>
              <w:rPr>
                <w:rFonts w:ascii="Arial" w:cs="Arial" w:eastAsia="Arial" w:hAnsi="Arial"/>
                <w:sz w:val="24"/>
                <w:szCs w:val="24"/>
              </w:rPr>
              <w:t xml:space="preserve">5. Месторождение белого мрамора Акарт - стоимость 412000 долл. США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социальных вопросов, создание новых предприятий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утратившие актуальность нормы законодательства в части государственного резерва земель месторождений полезных ископаемых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Одобренный проект Закона Кыргызской Республики "О внесении изменений в Земельный кодекс Кыргызской Республики", в части исключения категории государственного резерва земель месторождений полезных ископаемых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Возобновить строительство Кыргызского ферросплавного завода в г.Таш-Кумыр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первого этапа ферросплавного завода в г.Таш-Кумыр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ускорении запуска месторождения золота Джеруй, золото-медного рудного месторождения Куру-Тегерек, золото-сурьмяного месторождения Тереккан-Терек - Перевальное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разрешительных документов (заключений, экспертиз и т.д.) в установленные законодательством сроки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высокотехнологичных безотходных промышленных мини-заводов на базе ОАО "Кадамжайский сурьмяный комбинат" в с.Кадамжай Баткенской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 Решение социальных вопросов, создание новых рабочих мест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 ПКР в Баткенской области, ГА Кадамжайского района,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поправки в законодательство, в части освобождения от получения разрешения на работу лиц, получивших инвестиционную визу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внешней трудовой миграции"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МЭ, МИД ГКНБ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Среднесрочной программы продвижения инвестиций на 2017-2019 годов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направлений для продвижения инвестиционных проектов и привлечения инвестиций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подписанию не менее 2-х межправительственных соглашений по защите и поощрению инвестиций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распоряжения Правительства Кыргызской Республики об одобрении текстов соглашений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форму технико-экономических показателей энергетических компаний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новых форм технико-экономических показателей для 6 энергетических компаний (ОАО "Электрические станции", ОАО "НЭСК", ОАО "Северэлектро", ОАО "Востокэлектро", ОАО "Ошэлектро", ОАО "Жалалабатэлектро")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ежегодный VI Экономический форум "Иссык-Куль 2017"</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широкого круга инвесторов в Кыргызскую Республику, ознакомление с инвестиционным климатом и экономическим потенциалом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топ-5 проектов для привлечения инвестиций по итогам анализа отраслей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5 инвестиционных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работу диалоговых площадок по развитию бизнеса и инвестиций в регионах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площадок во всех регионах.</w:t>
            </w:r>
          </w:p>
          <w:p>
            <w:pPr>
              <w:jc w:val="left"/>
            </w:pPr>
            <w:r>
              <w:rPr>
                <w:rFonts w:ascii="Arial" w:cs="Arial" w:eastAsia="Arial" w:hAnsi="Arial"/>
                <w:sz w:val="24"/>
                <w:szCs w:val="24"/>
              </w:rPr>
              <w:t xml:space="preserve">Запуск пилотного проекта по улучшению инвестиционного климата на базе одного из регионов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контрабанду товаров и случаи уклонения от уплаты таможенных платежей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Уголовный кодекс Кыргызской Республики, направленных на борьбу с незаконным перемещением товаров и транспортных средств через Государственную границу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ГСБЭП</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привлечения инвесторов для строительства малых гидроэлектростанций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Объявить о проведении тендера на строительство малых гидроэлектростанций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Вовлечь частный сектор в систему управления отходами путем внедрения механизма выбора (в том числе конкурсного) организации для оказания услуг по сбору и вывозу отходов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аутсорсинга муниципальных услуг через увеличение доступа предпринимателей к оказанию услуг по сбору и вывозу отходов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мэрия г.Бишкек (по согласованию), мэрия г.Ош (по согласованию), 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земельный участок с правоустанавливающими документами для строительства мусороперерабатывающего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земельного участка для строительства мусороперерабатывающего завода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Регламентировать права владения, пользования и распоряжения государственным имуществом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одобрении проекта Закона Кыргызской Республики "О государственной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порядок управления неиспользуемыми земельными участками несельскохозяйственного назначения, находящимися в государственной собственности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утверждении Положения о порядке предоставления в аренду земельных участков, находящихся в государственной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государственных предприятиях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утверждении Положения о государственных предприятиях"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включение в Гражданский кодекс Кыргызской Республики нормы об установлении пороговой суммы, свыше которой платежи и расчеты между юридическими и физическими лицами должны осуществляться в безналичной форме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в целях содействия дальнейшему увеличению доли безналичных платежей и сокращению объемов неофициальной экономики при осуществлении расчетов между юридическими и физическими лицами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"Лучший инновационный проект-2017"</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оценка наиболее перспективных инновационных проектов. Содействие продвижению перспективных инновационных проектов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сеть филиалов Центра поддержки технологий и инноваций (ЦПТИ)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не менее 2-х филиалов ЦПТИ для стимулирования изобретательской деятельности, обеспечения доступа к источникам научно-технической информации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продвижению наиболее перспективных инновационных проектов, отобранных по результатам конкурса "Лучший инновационный проект"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Инвестиционная поддержка 3-х инновационных проектов для внедрения в производство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Кыргызско-Российский Фонд развития для отбора и внедрения в производство отечественных инновационных проектов, основанных на интеллектуальной собственности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Плодотворное и эффективное сотрудничество с Российско-Кыргызским Фондом развития по вопросам внедрения объектов интеллектуальной собственности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проникновения банковских и платежных услуг в регионы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банкоматов и пос-терминалов, установленных коммерческими банками в регионах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ОЮЛ "Союз банков Кыргызстана"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Меморандума о взаимопонимании между МЭКР, НБКР и ОЮЛ "Союз банков Кыргызстана" от 6 апреля 2015 года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предоставления гарантий в регионах для представителей малого и среднего бизнеса и экспортоориентированным предприятиям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покрытие регионов услугами ОАО "Гарантийный фонд"</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и обращение всех видов государственных ценных бумаг Кыргызской Республики на торговой площадке лицензированного организатора торгов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мобилизации финансовых средств и обеспечение финансирования государственных социальных, экономических и инфраструктурных программ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Госфиннадзор, НБКР (по согласованию), КФБ (по согласованию), Центральный депозитарий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по отбору депозитария для заключения договора об оказании услуг депозитарием для размещения средств пенсионных накоплений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депозитарием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повышению пенсий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Соцфонда и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Дорожный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 км 183-195 (с.Кызыл-Жылдыз - с.Арал), км 291-433 (с.Казарман - г.Джалал-Абад)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25% от общего объема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Эксимбанка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II км 195-291 (с.Арал - с.Казарман)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20% от общего объема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Эксимбанка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процедуру ратификации Соглашения о финансировании со стороны АБР км 89-159 (участка Эпкин - Башкууганды) автодороги Север-Юг, Фаза III, и отбор подрядной организации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Ратификация Соглашения о финансировании АБР.</w:t>
            </w:r>
          </w:p>
          <w:p>
            <w:pPr>
              <w:jc w:val="left"/>
            </w:pPr>
            <w:r>
              <w:rPr>
                <w:rFonts w:ascii="Arial" w:cs="Arial" w:eastAsia="Arial" w:hAnsi="Arial"/>
                <w:sz w:val="24"/>
                <w:szCs w:val="24"/>
              </w:rPr>
              <w:t xml:space="preserve">Завершение отбора подрядной организации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мобилизацию подрядчика и приступить к строительным работам по проекту реабилитации автодороги Бишкек - Ош, Фаза 4, участок Бишкек - Кара-Балта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мобилизации подрядчика и начало строительных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автодороги Тюп - Кеген протяженностью от 0 до 39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отрезка автодороги протяженностью 39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автодороги Тамчы - Чолпон-Ата -Корумду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отрезка автодороги протяженностью 40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113 км автодорог с укладкой асфальтобетонного покрытия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автодорог протяженностью 113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слой износа автодорог длиной до 145 км путем устройства шероховато-поверхностной обработки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Шероховато-поверхностная обработка автодорог протяженностью 145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черногравийного покрытия автодорог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Черно-гравийное покрытие протяженностью 20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автодорог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Гравийное покрытие протяженностью 100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мостов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4 мостов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число мобильных групп весогабаритного контроля до 5 в пределах штатной численности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и увеличение сбора за нарушения установленных норм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весовое оборудование в пунктах весогабаритного контроля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весогабаритного контроля через центральный сервер на 12 пунктах контроля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75-105 км автодороги Тараз -Талас - Суусамыр, 3 фаза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20 км дороги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ИБР, СФР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272-365 автодороги Бишкек - Нарын - Торугарт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21 км дороги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31.07.2016</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АКГ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отбор консультационной компании и подрядной организации по проекту реабилитации автодороги Бишкек - Ош, Фаза 4, участок Маданият - 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отбора консультационной компании и подрядной организации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ЕАБР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третьей фазы Программы по улучшению дорожных путей сообщения в Центральной Азии получить одобрение кредита со стороны Донора; завершить внутригосударственные процедуры по ратификации кредитного Соглашения и отбор консультационной компании для реабилитации участка автодороги Тюп - Кеген от с.Тюп до КПП "Каркыра" с 39 по 76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контракт с консультационной компанией. Консультационная компания приступила к подготовке детального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МФ,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ВБ</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Проекту улучшения дорог международного значения (Ош - Баткен - Исфана участок 28-75 км):</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JICA</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завершить отбор консультационной компании;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Отбор консультационной компании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завершить разработку детального проекта и подготовку тендерных документов для отбора подрядной организации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детального дизайна и тендерных документов для отбора подрядной организации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третьей фазы Программы по улучшению дорожных путей сообщения в Центральной Азии (Исфана - Худжант) осуществить реабилитацию дорожных участков в Баткенской области:</w:t>
            </w:r>
          </w:p>
          <w:p>
            <w:pPr>
              <w:jc w:val="left"/>
            </w:pPr>
            <w:r>
              <w:rPr>
                <w:rFonts w:ascii="Arial" w:cs="Arial" w:eastAsia="Arial" w:hAnsi="Arial"/>
                <w:sz w:val="24"/>
                <w:szCs w:val="24"/>
              </w:rPr>
              <w:t xml:space="preserve">1. Исфана - КПП Кайрагач/Маданият - 36,08 км;</w:t>
            </w:r>
          </w:p>
          <w:p>
            <w:pPr>
              <w:jc w:val="left"/>
            </w:pPr>
            <w:r>
              <w:rPr>
                <w:rFonts w:ascii="Arial" w:cs="Arial" w:eastAsia="Arial" w:hAnsi="Arial"/>
                <w:sz w:val="24"/>
                <w:szCs w:val="24"/>
              </w:rPr>
              <w:t xml:space="preserve">2. Баткен - Торткуль - 14,30 км;</w:t>
            </w:r>
          </w:p>
          <w:p>
            <w:pPr>
              <w:jc w:val="left"/>
            </w:pPr>
            <w:r>
              <w:rPr>
                <w:rFonts w:ascii="Arial" w:cs="Arial" w:eastAsia="Arial" w:hAnsi="Arial"/>
                <w:sz w:val="24"/>
                <w:szCs w:val="24"/>
              </w:rPr>
              <w:t xml:space="preserve">3. Баткен - КПП Кызыл-Бель/Гулистон - 6,11 км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строительных работ на участках:</w:t>
            </w:r>
          </w:p>
          <w:p>
            <w:pPr>
              <w:jc w:val="left"/>
            </w:pPr>
            <w:r>
              <w:rPr>
                <w:rFonts w:ascii="Arial" w:cs="Arial" w:eastAsia="Arial" w:hAnsi="Arial"/>
                <w:sz w:val="24"/>
                <w:szCs w:val="24"/>
              </w:rPr>
              <w:t xml:space="preserve">- "Исфана - Сулюкта" (90%);</w:t>
            </w:r>
          </w:p>
          <w:p>
            <w:pPr>
              <w:jc w:val="left"/>
            </w:pPr>
            <w:r>
              <w:rPr>
                <w:rFonts w:ascii="Arial" w:cs="Arial" w:eastAsia="Arial" w:hAnsi="Arial"/>
                <w:sz w:val="24"/>
                <w:szCs w:val="24"/>
              </w:rPr>
              <w:t xml:space="preserve">- "Сулюкта - Кольцо" (50%);</w:t>
            </w:r>
          </w:p>
          <w:p>
            <w:pPr>
              <w:jc w:val="left"/>
            </w:pPr>
            <w:r>
              <w:rPr>
                <w:rFonts w:ascii="Arial" w:cs="Arial" w:eastAsia="Arial" w:hAnsi="Arial"/>
                <w:sz w:val="24"/>
                <w:szCs w:val="24"/>
              </w:rPr>
              <w:t xml:space="preserve">- "Кольцо - Кайрагач" (90%)</w:t>
            </w:r>
          </w:p>
          <w:p>
            <w:pPr>
              <w:jc w:val="left"/>
            </w:pPr>
            <w:r>
              <w:rPr>
                <w:rFonts w:ascii="Arial" w:cs="Arial" w:eastAsia="Arial" w:hAnsi="Arial"/>
                <w:sz w:val="24"/>
                <w:szCs w:val="24"/>
              </w:rPr>
              <w:t xml:space="preserve">- "Баткен - Торткуль" (90%)</w:t>
            </w:r>
          </w:p>
          <w:p>
            <w:pPr>
              <w:jc w:val="left"/>
            </w:pPr>
            <w:r>
              <w:rPr>
                <w:rFonts w:ascii="Arial" w:cs="Arial" w:eastAsia="Arial" w:hAnsi="Arial"/>
                <w:sz w:val="24"/>
                <w:szCs w:val="24"/>
              </w:rPr>
              <w:t xml:space="preserve">- "Баткен - Кызыл-Бель"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переговорные процессы с китайской стороной по продвижению проекта строительства железной дороги Китай - Кыргызстан - Узбекистан, в том числе по вопросам:</w:t>
            </w:r>
          </w:p>
          <w:p>
            <w:pPr>
              <w:jc w:val="left"/>
            </w:pPr>
            <w:r>
              <w:rPr>
                <w:rFonts w:ascii="Arial" w:cs="Arial" w:eastAsia="Arial" w:hAnsi="Arial"/>
                <w:sz w:val="24"/>
                <w:szCs w:val="24"/>
              </w:rPr>
              <w:t xml:space="preserve">- обсуждения ТЭО (технические стандарты);</w:t>
            </w:r>
          </w:p>
          <w:p>
            <w:pPr>
              <w:jc w:val="left"/>
            </w:pPr>
            <w:r>
              <w:rPr>
                <w:rFonts w:ascii="Arial" w:cs="Arial" w:eastAsia="Arial" w:hAnsi="Arial"/>
                <w:sz w:val="24"/>
                <w:szCs w:val="24"/>
              </w:rPr>
              <w:t xml:space="preserve">- определения схемы финансирования;</w:t>
            </w:r>
          </w:p>
          <w:p>
            <w:pPr>
              <w:jc w:val="left"/>
            </w:pPr>
            <w:r>
              <w:rPr>
                <w:rFonts w:ascii="Arial" w:cs="Arial" w:eastAsia="Arial" w:hAnsi="Arial"/>
                <w:sz w:val="24"/>
                <w:szCs w:val="24"/>
              </w:rPr>
              <w:t xml:space="preserve">- определения организационно-правовой формы предприятия для дальнейшего строительства железной дороги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строительства железной дороги Китай-Кыргызстан-Узбекистан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МИД, МФ, МЭ, МЮ, ГП "Кыргыз темир жолу"</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Объединить автовокзалы и автостанции Кыргызской Республики в единое государственное предприятие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инвестиционного климата, качества оказываемых услуг пассажирам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Авиационный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Перепрофилировать и расширить зоны международных вылетов аэровокзального комплекса (АВК) Международного аэропорта "Манас", северо-восточная сторона 2 этаж</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пропускной способности и повышение качества обслуживания пассажиров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"МАМ" (по согласованию), МТД, ФУГИ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азимутальный радиомаяк DVOR/DME в Международном аэропорту "Манас"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полетов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ГП "Кыргызаэронавигация"</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"Кыргызаэронавигация",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подписанию соглашения о предоставлении воздушного пространства иностранным воздушным судам с правом "пятой степени свободы воздуха" с определенными государствами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пассажиропотока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МИД, АГА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Энергетика и горнодобывающий сектор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проект "Модернизация ТЭЦ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надежности работы оборудования, увеличение электрической мощности на 18,8% и тепловой мощности - на 30,4%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провести тендер по отбору подрядчиков на ремонт затворов и замену агрегатов по проекту "Реабилитация Токтогульской ГЭС. Фаза 2"</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контракта на ремонт затворов и замену агрегатов по проекту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соглашения с АБР и ЕАБР по финансированию проекта "Реабилитация Токтогульской ГЭС. Фаза 3" и провести внутригосударственные процедуры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внутригосударственных процедур по ратификации соглашений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тендерную документацию по отбору подрядчиков по проекту "Реконструкция Ат-Башинской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подрядчиков по проекту "Реконструкция Ат-Башинской ГЭС" для замены гидромеханического оборудования ГЭС и строительно-монтажных работ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проведение тендера на отбор подрядчика для разработки ТЭО проекта "Реконструкция Уч-Курганской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контракта на разработку ТЭО проекта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по финансированию проекта "Ввод в эксплуатацию второго гидроагрегата Камбаратинской ГЭС-2" и провести внутригосударственные процедуры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внутригосударственных процедур по ратификации Соглашения и начало реализации проекта "Ввод в эксплуатацию второго гидроагрегата Камбаратинской ГЭС-2"</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потенциального инвестора для реализации проекта "Строительство Камбаратинской ГЭС-1"</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определение потенциального инвестора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потенциального инвестора для реализации проекта "Строительство Верхне-Нарынского каскада ГЭС"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переговоров и определение потенциального инвестора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тендерную документацию и провести тендер по отбору генерального подрядчика на строительство ЛЭП 500 кВ на территории Кыргызской Республики и ячейки на ПС 500 кВ "Датка" в рамках проекта "CASA-1000", финансируемых МАР, ЕИБ и ИБР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генерального подрядчика строительно-монтажных работ и заключение контракта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ОАО "НЭХК" (по согласованию), ОАО "Электрические станции"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полный сбор платежей за потребленную электроэнергию по всем категориям потребителей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платежей на уровне не менее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потери электроэнергии в распределительных энергетических компаниях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 итогам 2017 года снижение потерь электроэнергии в сетях распределительных электрокомпаний до уровня 12,5%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Методику расчета технических потерь в электрических сетях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Методики расчета технических потерь электроэнергии в электрических сетях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ОАО "НЭСК" (по согласованию),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отечественного предприятия по производству приборов учета АСКУЭ</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предприятия по производству АСКУЭ</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РКФР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приборов учета АСКУЭ</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установки приборов учета АСКУЭ в количестве 50 тысяч штук, в том числе по: ОАО "Северэлектро" - 20 тыс. штук; ОАО "Востокэлектро" - 10 тыс. штук; ОАО "Ошэлектро" - 10 тыс. штук; ОАО "Жалалабатэлектро" - 10 тыс. штук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а также за счет привлеченных инвестиционных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 топливно-энергетических компаний на 30%, без учета задолженности бюджетных потребителей и выплаты компенсаций лицам, проживающих в тяжелых, неблагоприятных природно-климатических условиях высокогорья и отдаленных труднодоступных зонах за 4 квартал 2017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топливно-энергетическими компаниями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распределительные энергокомпании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разработке угольных месторождений Кара-Кече (участок "Центральный"), Сулюкта и Таш-Комур, а также Узгенского каменноугольного бассейна, с привлечением инвесторов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угля по республике в 2017 году - 2,2 млн. тонн при условии выполнения предусмотренных мер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ГП "Кыргызкомур", угольные компании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нормативный правовой акт, регулирующий вопросы проектирования электрических сетей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технической базы для дальнейшего сокращения потерь электроэнергии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НИИЭЭ,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интерактивную карту энергомощностей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всеобщий доступ к интерактивной карте энергомощностей города Бишкек в он-лайн режиме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Положения о рекультивации земель, нарушенных в процессе пользования недрами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кредитно-финансовых учреждений для гарантированного восстановления продуктивности и народнохозяйственного значения нарушенных земель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Токмокского делового нефтеперерабатывающего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сырьем - сырой нефтью, доведение производственной мощности до 200 тыс. 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МИД, ПП ПКР в области,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Кара-Балтинского нефтеперерабатывающего завода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сырьем - сырой нефтью, доведение производственной мощности до 600 тыс. 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МВД, ПП ПКР в области,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тарифную политику на среднесрочный тарифный период 2018-2021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 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пакет проектов НПА по вопросам электроэнергетики в целях устранения пробелов в законодательстве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ГАРТЭК, ОАО "НЭХК"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проект НПА об утверждении Положения о тендере на право строительства малых ГЭС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проект НПА об утверждении Концепции развития топливно-энергетического комплекса до 2030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НИСИ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Связь и информатизация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 мероприятий по реализации информационной кампании по информированию населения о переходе на цифровое вещание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населения Кыргызстана об отключении аналогового вещания и переходе на цифровое эфирное вещание - 100%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привлеченных средств инвесторов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об отключении аналогового эфирного цифрового вещания 15 мая 2017 года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отключении 15 мая 2017 года аналогового эфирного наземного вещания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 РПО РМТР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70 автоматических телерадиотрансляторов в отдаленных и труднодоступных регионах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телерадиовещанием оставшихся 5% населенных пунктов, расположенных в отдаленных и труднодоступных регионах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ГКИТС, МФ, РПО РМТР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план-график развития сетей 4G операторов связи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территории охвата услугами мобильной связи 4G населенных пунктов Кыргызской Республики согласно графику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процедуры международной координации (согласования) с приграничными государствами и регистрации в Международном справочном регистре частот Международного союза электросвязи не менее 30 частотных присвоений на право эксплуатации цифровых телевизионных передатчиков на территории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Закрепление за Кыргызской Республикой 30 частот в Международном справочном регистре частот Международного союза электросвязи.</w:t>
            </w:r>
          </w:p>
          <w:p>
            <w:pPr>
              <w:jc w:val="left"/>
            </w:pPr>
            <w:r>
              <w:rPr>
                <w:rFonts w:ascii="Arial" w:cs="Arial" w:eastAsia="Arial" w:hAnsi="Arial"/>
                <w:sz w:val="24"/>
                <w:szCs w:val="24"/>
              </w:rPr>
              <w:t xml:space="preserve">Обеспечение своевременного перехода на цифровое телевизионное вещание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и поддержка экспорта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Программы устойчивого промышленного развития Кыргызской Республики на 2017-2020 годы и Плана мероприятий по реализации данной Программы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устойчивого развития промышленности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МЭ, МСХППМ,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Трансформация земельного участка, площадью 40 га, на территории Военно-Антоновского айылного аймака Сокулукского района Чуйской области для реализации проекта "Технополис"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ГРС, ПП ПКР в Чуйской области</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 в размере 20 га в черте города Бишкек для реализации проекта "Технополис"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ФУГИ, ГААСЖКХ, мэрия г.Бишкек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ЕЭК предложения от Кыргызской Республики по устранению барьеров на внутреннем рынке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барьеров для продвижения отечественных товаров и услуг на рынок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МТД, ГААР, МСХППМ,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Ратифицировать Договор о Таможенном кодексе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таможенных формальностей, соответствующих лучшей международной практике, такие как:</w:t>
            </w:r>
          </w:p>
          <w:p>
            <w:pPr>
              <w:jc w:val="left"/>
            </w:pPr>
            <w:r>
              <w:rPr>
                <w:rFonts w:ascii="Arial" w:cs="Arial" w:eastAsia="Arial" w:hAnsi="Arial"/>
                <w:sz w:val="24"/>
                <w:szCs w:val="24"/>
              </w:rPr>
              <w:t xml:space="preserve">- приоритет электронного (безбумажного) декларирования;</w:t>
            </w:r>
          </w:p>
          <w:p>
            <w:pPr>
              <w:jc w:val="left"/>
            </w:pPr>
            <w:r>
              <w:rPr>
                <w:rFonts w:ascii="Arial" w:cs="Arial" w:eastAsia="Arial" w:hAnsi="Arial"/>
                <w:sz w:val="24"/>
                <w:szCs w:val="24"/>
              </w:rPr>
              <w:t xml:space="preserve">- автоматический выпуск товаров в случае, если не сработали профили риска;</w:t>
            </w:r>
          </w:p>
          <w:p>
            <w:pPr>
              <w:jc w:val="left"/>
            </w:pPr>
            <w:r>
              <w:rPr>
                <w:rFonts w:ascii="Arial" w:cs="Arial" w:eastAsia="Arial" w:hAnsi="Arial"/>
                <w:sz w:val="24"/>
                <w:szCs w:val="24"/>
              </w:rPr>
              <w:t xml:space="preserve">- перенос акцента с этапа таможенного контроля на этап после выпуска товаров;</w:t>
            </w:r>
          </w:p>
          <w:p>
            <w:pPr>
              <w:jc w:val="left"/>
            </w:pPr>
            <w:r>
              <w:rPr>
                <w:rFonts w:ascii="Arial" w:cs="Arial" w:eastAsia="Arial" w:hAnsi="Arial"/>
                <w:sz w:val="24"/>
                <w:szCs w:val="24"/>
              </w:rPr>
              <w:t xml:space="preserve">- запрет на последующий запрос от участников ВЭД документов, подтверждающих сведения, заявленные в декларации на товары, ранее представленные в таможенные органы при предварительном информировании и таможенном декларировании товаров;</w:t>
            </w:r>
          </w:p>
          <w:p>
            <w:pPr>
              <w:jc w:val="left"/>
            </w:pPr>
            <w:r>
              <w:rPr>
                <w:rFonts w:ascii="Arial" w:cs="Arial" w:eastAsia="Arial" w:hAnsi="Arial"/>
                <w:sz w:val="24"/>
                <w:szCs w:val="24"/>
              </w:rPr>
              <w:t xml:space="preserve">- усиление ответственности таможенных органов за неправомерные действия, бездействие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административные барьеры и создать условия для развития магазинов беспошлинной торговли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дополнений в постановление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формированию единой информационной базы разрешительных документов и таможенных платежей, взимаемых при экспорте товаров и обеспечить постоянное ее обновление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в режиме реального времени получать информацию о разрешительных документах для осуществления внешнеэкономической деятельности и о таможенных платежах, взимаемых при экспорте товаров, на официальном сайте ГТС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модернизацию информационной системы "единое окно" в соответствии с международными стандартами и требованиями 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модернизации в соответствии с техническим заданием. Количество подключенных государственных органов и иных организаций к информационной системе "единое окно" в сфере внешней торговли (динамика в единицах к факту базового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предложения по реализации Соглашения по упрощению процедур торговли ВТО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таможенных процедур на границе и ускорение выпуска товаров в свободное обращение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мероприятий по реализации Концепции развития национальной инфраструктуры качества Кыргызской Республики на период до 2020 года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мероприятий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программное обеспечение системы управления рисками и определение критериев оценки добросовестных участников ВЭД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добросовестных участников ВЭД путем предоставления возможности проведения таможенных операций за 1 рабочий день, следующий за днем регистрации таможенной декларации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информационную систему по отслеживанию ветеринарных и фитосанитарных сертификатов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совместно с российской компанией "Сигма" и опытно-промышленная эксплуатация АИС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ГИВФБ, МТД,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информационную кампанию по вопросам стандартизации и сертификации экспортируемой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экспортеров об условиях вывоза продукции на внешние рынки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Госорганы, ГИВФБ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необходимости проведения лабораторных исследований экспортно-ориентируемой продукции по приоритетным секторам экономики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практического объема экспорта продукции на рынки ЕАЭС (с учетом структуры экспорта) и определение необходимого количества и расположения испытательной лабораторной базы для обеспечения покрытия основных (минимальных) видов лабораторных исследований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ГИВФБ,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внешних рынков для сбыта сельскохозяйственной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выходу отечественной продукции на зарубежные рынки, с конкретными предложениями по диверсификации экспортного потенциала и устранению барьеров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финансирования экспортно-ориентированных предприятий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средств на субсидирование процентных ставок по льготному кредитованию экспортоориентированных предприятий.</w:t>
            </w:r>
          </w:p>
          <w:p>
            <w:pPr>
              <w:jc w:val="left"/>
            </w:pPr>
            <w:r>
              <w:rPr>
                <w:rFonts w:ascii="Arial" w:cs="Arial" w:eastAsia="Arial" w:hAnsi="Arial"/>
                <w:sz w:val="24"/>
                <w:szCs w:val="24"/>
              </w:rPr>
              <w:t xml:space="preserve">Внесение изменений в Закон Кыргызской Республики "О республиканском бюджете Кыргызской Республики на 2017 год и прогнозе на 2018 и 2019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МФ, МСХППМ, НБКР (по согласованию), РКФР (по согласованию), ОАО "Айыл Банк", (по согласованию), ОАО "РСК Банк",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информационную кампанию "Караван экспорта" в областях страны и городах Бишкек и 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и приобретения навыков по экспорту отечественных товаров 350 компаний по всей стране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выходе на внешние рынки не менее 5 новых отечественных предприятий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продукции 5 отечественных предприятий на внешние рынки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продвижение туристического продукта Кыргызстана на внешних рынках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специализированных выставочных мероприятиях, таких как I</w:t>
            </w:r>
            <w:r>
              <w:rPr>
                <w:rFonts w:ascii="Arial" w:cs="Arial" w:eastAsia="Arial" w:hAnsi="Arial"/>
                <w:sz w:val="24"/>
                <w:szCs w:val="24"/>
              </w:rPr>
              <w:t xml:space="preserve">T</w:t>
            </w:r>
            <w:r>
              <w:rPr>
                <w:rFonts w:ascii="Arial" w:cs="Arial" w:eastAsia="Arial" w:hAnsi="Arial"/>
                <w:sz w:val="24"/>
                <w:szCs w:val="24"/>
              </w:rPr>
              <w:t xml:space="preserve">B (Берлин), WTM (Лондон), JATA (Токио), KOTFA (Сеул), KITF (Алматы), MITT (Москва), TOURSIB (Новосибирск), EXPOTRAVEL (Екатеринбург). Трансляция роликов о туризме в Кыргызской Республики в ведущих мировых СМИ (Евроньюс, Россия, ТРТ Аваз и т.д.) и др.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МИД, туристические ассоциации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туристические информационные центры в городах Бишкек и Чолпон-Ата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качественных услуг и информации туристам во время их пребывания в КР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ПП ПКР в Иссык-Кульской области, мэрии гг. Бишкек и Чолпон-Ата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реализации технических регламентов ТС/ЕАЭС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гармонизированных с договорно-правовой базой ЕАЭС и техническими регламентами ТС/ЕАЭС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Планом мероприятий по применению технических регламентов ТС в КР</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реализации технических регламентов ТС в сфере безопасности пищевой продукции пищеперерабатывающими предприятиями в части разработки, внедрения и поддерживания процедур, основанных на принципах НАССР</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предприятий, внедривших ХАССП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системной основе организовывать для представителей предприятий по производству пищевой продукции обучение и консультирование (семинары и тренинги) по разъяснению и практическому применению стандартов ISO, ХАСПП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7 семинаров и тренингов в регионах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 кредитования экономики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расширения видов банковских услуг и повышения здоровой конкуренции участников банковского сектора, способствующей снижению процентных ставок по кредитным финансовым продуктам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соответствующих мер в рамках проводимой Национальным банком Кыргызской Республики процентной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коммерческие банки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дальнейший рост показателей уровня финансового посредничества банковского сектора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коммерческие банки (по согласованию)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банковской системы к ВВП (%-е изменение)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согласованную денежно-кредитную и бюджетно-налоговую политику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первый этап Программы повышения финансовой грамотности населения Кыргызской Республики на 2016-2020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мероприятий, предусмотренных для первого этапа Программы повышения финансовой грамотности населения Кыргызской Республики на 2016-2020 годы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 согласованию), МОН, Госфиннадзор, ГНС, Соцфонд, АЗД (по согласованию), ОМСУ (по согласованию), бизнес-ассоциации (по согласованию), КФБ (по согласованию), ФКУ (по согласованию), организации гражданского общества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в рамках бюджета НБКР, в случае необходимости - привлечение средств доноров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 видах, эмиссии, обращении и погашении производных ценных бумаг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для внедрения и обращения производных ценных бумаг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внедрения и обращения исламских ценных бумаг (сукук) в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постановления Правительства Кыргызской Республики "Об эмиссии, обращении и погашении исламских ценных бумаг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Закон Кыргызской Республики "О рынке ценных бумаг"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регулирующей деятельность на рынке ценных бумаг, в том числе эмитентов ценных бумаг, профессиональных участников рынка ценных бумаг и инвесторов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внедрения и обращения ипотечных ценных бумаг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эмиссии, обращении и погашении ипотечных ценных бумаг"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Справедливая конкуренция</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Соблюдать баланс интересов потребителей и субъектов естественных монополий, обеспечивающий доступность оказываемых услуг и надлежащий уровень их качества для потребителей, эффективное функционирование и развитие субъектов естественных монополий, анализ деятельности субъектов естественных монополий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решений по установлению экономически обоснованных цен (тарифов)/достижение баланса интересов субъектов монополий и потребителей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ГАРТЭК</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разрешенные монополии из Государственного республиканского и региональных реестров субъектов естественных и разрешенных монополий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субъектов разрешенной монополии, исключенных из государственных реестров. Создание равных конкурентных условий с другими игроками рынка в условиях единого экономического пространства и адаптации субъектов-монополистов к новым условиям в рамках свободной конкуренции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законопроект, предусматривающий приведение норм Закона Кыргызской Республики "О конкуренции" в соответствие с Модельным законом ЕАЭС "О конкуренции"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для отечественных предпринимателей на территории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льгот и преференций, предоставляемых предприятиям перерабатывающей и других отраслей экономики согласно нормативным правовым актам, регулирующим предпринимательскую деятельность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конкретных мер, при необходимости, разработка проекта нормативного правового акта. Обеспечение равных условий для всех участников рынка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товарных рынков, в том числе финансовых в соответствии с Порядком проведения анализа состояния конкуренции на товарном рынке Кыргызской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состояния конкуренции на товарных, финансовых рынках и выработка действенных мер по ее созданию, развитию и защите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планам проведения анализов, ежегодно утверждаемым ГААР, НБКР</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НБКР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широкомасштабную пиар-кампанию среди населения по покупке и потреблению продукции отечественных производителей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всеми торговыми предприятиями единого логотипа (эмблемы), символизирующего происхождение товара в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Ассоциации товаропроизводителей и ритейлеров (по согласованию), МГА 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3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села и малых городов</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мэриям отобранных пилотных городов экспертное/консультационное и методологическое содействие в разработке программ развития городов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технического задания, с указанием детализации, разработка и утверждение программ ОМСУ</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мэрии городов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средства доноров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комплексному планированию социально-экономического развития по принципу "снизу-вверх", айыл окмоту - район - область и республиканский уровень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комплексному развитию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освоении мощности текстильного предприятия по производству трикотажных тканей ОсОО "Транс Текстиль" в с.Чуй Чуйской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импортозамещающего производства, с созданием 250 рабочих мест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ПП ПКР в Чуйской области</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не менее 3-х проектов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консультационных и транзакционных услуг</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ГАПИЭ, МЭ</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для проекта ГЧП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частного партнера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тендерные процедуры по консультационным услугам по подготовке ТЭО проекта ГЧП "Объездная дорога г.Узген Ошской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консультанта и подготовка ТЭО</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республиканского бюджета, Фонд поддержки ГЧП</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двух логистических центров международного уровня: на юге страны ("Южный"), на севере страны ("Северный") и 7 региональных логистических центров с конкретными целевыми продуктами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логистических центров на юге и севере страны.</w:t>
            </w:r>
          </w:p>
          <w:p>
            <w:pPr>
              <w:jc w:val="left"/>
            </w:pPr>
            <w:r>
              <w:rPr>
                <w:rFonts w:ascii="Arial" w:cs="Arial" w:eastAsia="Arial" w:hAnsi="Arial"/>
                <w:sz w:val="24"/>
                <w:szCs w:val="24"/>
              </w:rPr>
              <w:t xml:space="preserve">Запуск 7 региональных логистических центров, с конкретными целевыми продуктами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частных инвестиций и средств РКФР, ОАО "Айыл Банк", ОАО "РСК Банк"</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объектов социально-культурного назначения в соответствии с Перечнем объектов и строек, финансируемых из республиканского бюджета по статье "Капитальные вложения" на 2017 год (90 вводных объектов)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объектов незавершенного строительства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Подключить общеобразовательные организации Кыргызской Республики к высокоскоростной сети Интернет</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 школ имеют доступ к высокоскоростной сети Интернет</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ГКИТС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Предусмотреть в республиканском бюджете средства для реализации программы "Доступное жилье"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проекту "Финансирование сельского хозяйства - 4", вторая фаза, в сумме 371,5 млн. сомов, по проекту "Финансирование сельского хозяйства - 5" - в сумме 328,5 млн. сомов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финансовых ресурсов в сумме 700 млн. сомов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организации по оказанию механизированных агротехнических услуг (машинно-тракторные станции) в регионах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дополнительно в регионах по 1 машинно-тракторной станции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внутренних и внешних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в лизинг сельхозтоваропроизводителям по линии господдержки сельскохозяйственной техники, приобретенной на средства ЕАБР и возврат средств по ранее выданным кредитам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сельским субъектам в лизинг не менее 160 единиц различной сельхозтехники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совместно с ОМСУ (по согласованию), ОАО "Айыл Банк"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ЕАБР и возвратных средств по ранее выданным кредитам</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поставки минеральных удобрений согласно заключенных контрактам в 2016 году с АО "Farg'onaazot" (Республика Узбекистан)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поддержка отечественных сельских товаропроизводителей и населения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 ФГМР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Программы развития пищевой и перерабатывающей промышленности Кыргызской Республики на 2017-2020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Определение мер по поддержке пищевой и перерабатывающей промышленности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и ГСМ (продовольственная пшеница, мясо, масло, сахар и др.) и, при необходимости, проводить товарные интервенции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товарных запасов на 100%</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 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 айылных аймаках искусственное осеменение маточного поголовья крупного рогатого скота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племенного дела в регионах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рекомендации по специализации регионов по производству сельскохозяйственной продукции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рекомендаций по специализации регионов по производству определенных видов сельскохозяйственной продукции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сельскохозяйственного кооперативного движения в Кыргызской Республике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 Возможность формирования однотипной продукции в больших объемах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2017 года, согласно Закону Кыргызской Республики "О государственных закупках"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до 20000 тонн</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ФГМР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и оказать поддержку внедрению технологии капельного орошения и увеличить площадь охвата на 400 га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площади применения технологии системы капельного орошения до 2200 га, выдача кредитов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МГА,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и запуск 300 новых теплиц в регионах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разных типов теплиц до 1750 единиц</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МГА,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Решить вопрос о строительстве демонстрационной теплицы и системы капельного орошения индийского производства на территории учебно-опытного хозяйства "Учхоз" Кыргызского национального аграрного университета им.К.И.Скрябина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 и заключение договора с инвестором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КНАУ им.К.Скрябина (по согласованию), Посольство Индии в Кыргызстане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частных иностранных инвестиций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10 современных предприятий по организованному убою скота и первичной переработке мяса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 финансировании строительства убойных цехов, соответствующих техническим регламентам ЕАЭС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МЭ,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РКФР, ОАО "Айыл Банк", ОАО "РСК Банк"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контроль идентификации сельскохозяйственных животных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идентификации маточного поголовья КРС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карантинные фитосанитарные лаборатории для сертификации продукции сельского хозяйства в Таласской, Иссык-Кульской, Баткенской, Джалал-Абадской и Нарынской областях, в городах Бишкек и 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2 карантинных фитосанитарных лабораторий.</w:t>
            </w:r>
          </w:p>
          <w:p>
            <w:pPr>
              <w:jc w:val="left"/>
            </w:pPr>
            <w:r>
              <w:rPr>
                <w:rFonts w:ascii="Arial" w:cs="Arial" w:eastAsia="Arial" w:hAnsi="Arial"/>
                <w:sz w:val="24"/>
                <w:szCs w:val="24"/>
              </w:rPr>
              <w:t xml:space="preserve">Внедрение и налаживание системы по проведению сертификации продукции сельского хозяйства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РКФР, частные инвестиции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ярмарки продукции отечественных производителей в каждой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не менее 2-х ярмарок в каждой области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местного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наполнение водохранилища к поливному сезону 2017 года в проектном объеме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Водохранилища наполнены водой в объеме 1569 млн. м</w:t>
            </w: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средства ВБ</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мелиоративное состояние сельскохозяйственных земель</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плодородности земель площадью 1,2 тыс. га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Государственной программы развития ирригации в Кыргызской Республике на 2017-2025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задач в сфере ирригации и мелиорации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ДВХМ,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канала Каракыштак-Боз в Кадамжайском районе Баткенской области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325 га новых орошаемых земель и повышение на 500 га водообеспеченности земель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ирригационные каналы.</w:t>
            </w:r>
          </w:p>
          <w:p>
            <w:pPr>
              <w:jc w:val="left"/>
            </w:pPr>
            <w:r>
              <w:rPr>
                <w:rFonts w:ascii="Arial" w:cs="Arial" w:eastAsia="Arial" w:hAnsi="Arial"/>
                <w:sz w:val="24"/>
                <w:szCs w:val="24"/>
              </w:rPr>
              <w:t xml:space="preserve">Проложить работу по реализации проекта "Реконструкция ирригационной системы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строительство и очистка каналов протяженностью 658 км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грантовых средств Правительства КНР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ремонт гидротехнических сооружений, улучшение урегулирования объема подачи воды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 ремонт 860 гидротехнических сооружений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и замену насосных агрегатов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102 насосных агрегатов и замена 234 насосных агрегатов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подачу поливной воды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Подача воды на орошение в объеме 4400 млн. м</w:t>
            </w:r>
            <w:r>
              <w:rPr>
                <w:rFonts w:ascii="Arial" w:cs="Arial" w:eastAsia="Arial" w:hAnsi="Arial"/>
                <w:sz w:val="24"/>
                <w:szCs w:val="24"/>
              </w:rPr>
              <w:t xml:space="preserve">3</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МСХППМ,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10 сел и 6 городов Кыргызской Республики питьевой водой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10 сел и дополнительно 6 городов Кыргызской Республики к чистой питьевой воде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нормативную базу в сфере питьевого водоснабжения и водоотведения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Правительство Кыргызской Республики проекты 3-х нормативных правовых актов в сфере питьевого водоснабжения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регулирующее основы деятельности системы местного самоуправления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коллизий, противоречий, пробелов в законодательстве, регулирующем систему местного самоуправления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обоснование новой модели административно-территориального устройства Кыргызской Республики (техническое, экономическое, социальное, институциональное, финансовое, научное)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новой модели административно-территориального устройства Кыргызской Республики, в которой учтены и в основу которой заложены интересы всякой и любой стороны, которой коснутся изменения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по реализации АТР, МЭ, ГАМСУМО, ПП ПКР в областях, НИСИ, ОМСУ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Телефонизировать 25 населенных пунктов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связью 25 населенных пунктов, не имеющих доступа к услугам сотовой связи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ГКИТС, ГАС, операторы связи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рынка труда и регулирование трудовой миграции</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трудоустройстве безработных граждан путем организации ярмарок вакансий, профессионального обучения и выдачи микрокредитов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трудоустроенных граждан (по факту)</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МГА, ОМСУ (по согласованию)</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p>
            <w:pPr>
              <w:jc w:val="left"/>
            </w:pPr>
            <w:r>
              <w:rPr>
                <w:rFonts w:ascii="Arial" w:cs="Arial" w:eastAsia="Arial" w:hAnsi="Arial"/>
                <w:sz w:val="24"/>
                <w:szCs w:val="24"/>
              </w:rPr>
              <w:t xml:space="preserve">Местный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рабочих мест (по факту)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охваченных активными мерами (по факту)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профориентационную работу на уровне школы, профессиональных лицеев, спузов и вузов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Профориентационная работа на уровне школы, профлицеев, спузов и вузов, включая 26 апреля - Единый день профориентации, дни открытых дверей, встречи с работодателями, экскурсии на производство, издание информационных материалов и др., курсы для абитуриентов, проводимые профессиональными лицеями, спузами и вузами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МТСР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профессиональные стандарты для начального профессионального образования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45 видов профессиональных стандартов на уровне начального профессионального образования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проект АБР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план приема на бюджетное обучение в профессиональные лицеи, спузы, вузы, в соответствии с анализом потребности рынка труда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плана приема в профессиональные лицеи, спузы и вузы на основании анализа рынка труда и заявок работодателей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заинтересованность иностранных инвесторов в привлечении местных трудовых ресурсов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внешней трудовой миграции", в части создания особого режима, который будет способствовать найму наибольшего количества национальных специалистов и работников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 Кыргызской Республики "О тарифах страховых взносов по государственному социальному страхованию", в части снижения нагрузки социальных отчислений для индивидуальных предпринимателей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СФКР</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Программу по реализации Концепции миграционной политики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сфере миграции, регулирование миграционной политики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 МТСР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стандарты отчетности представительств Государственной службы миграции за рубежом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 в целях упорядочения деятельности представительств Государственной службы миграции при Правительстве Кыргызской Республики за рубежом</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подключение и налаживание работы базы данных Государственной службы миграции к Единой системе учета внешней миграции (ЕСУВМ)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системы ЕСУВМ с данными Государственной службы миграции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ГКНБ</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Личность и гражданин как основа будущего</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Комплексной программы по поддержке семьи и защите детей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созданию центров для социально незащищенных категорий граждан (детей и семей, находящихся в трудной жизненной ситуации, лиц с ограниченными возможностями здоровья, пожилых граждан) на местном уровне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для социально незащищенных категорий граждан (не менее 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МГА, ОМСУ (по согласованию),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республиканским бюджетом, местным бюджетом,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стоимости социальных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Методика определения стоимости социальных услуг</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МО,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республиканским бюджетом</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организаций здравоохранения на уровне не менее 95% от утвержденного Консолидированного бюджета системы Единого плательщика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Гарантированное предоставление медицинских услуг приписанному населению на уровне первичной медико-санитарной помощи (ПМСП) и стационарной помощи в рамках ПГГ</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населения республики к льготному лекарственному обеспечению в рамках ПГГ и ДПОМС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Кодекс Кыргызской Республики о детях, в части установления опеки и попечительства над детьми, оставшимися без попечения родителей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МО, НКО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государственный банк данных о детях, оставшихся без попечения родителей, в части регистрации граждан, желающих быть приемными родителями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устройству детей-сирот и детей, оставшихся без попечения родителей, в приемные (фостерные семьи)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и детей, оставшихся без попечения родителей, устроенных в приемные (фостерные) семьи (не менее 15 чел.)</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ЮНИСЕФ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социальному сопровождению приемных родителей (не менее 2 центров)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анимационную студию при Национальной киностудии "Кыргызфильм" им.Т.Океева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цифровое, кадровое обеспечение анимационной студии.</w:t>
            </w:r>
          </w:p>
          <w:p>
            <w:pPr>
              <w:jc w:val="left"/>
            </w:pPr>
            <w:r>
              <w:rPr>
                <w:rFonts w:ascii="Arial" w:cs="Arial" w:eastAsia="Arial" w:hAnsi="Arial"/>
                <w:sz w:val="24"/>
                <w:szCs w:val="24"/>
              </w:rPr>
              <w:t xml:space="preserve">Оснащение студии для запуска и производства анимационных фильмов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Президентский фонд социальной защиты и поддержки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I-й этап реконструкции Государственного исторического музея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фасадной части музея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донорских организаций</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посвященные 150-летию со дня рождения известного манасчи Сагымбая Орозбакова, в рамках Международной организации тюркской культуры (ТЮРКСОЙ)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одного мероприятия международного уровня и семи мероприятий республиканского уровня. Популяризация эпического наследия кыргызского народа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в связи с 1000-летием Жусупа Баласагына, с участием стран-членов ТЮРКСОЙ, в рамках которых создать два музейных комплекса по истории тюркских каганатов на базе Республиканского архитектурно-археологического музея-комплекса "Башня Бурана" и Узгенского историко-археологического комплекса, создать туристические зоны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3-х мероприятий международного уровня, более 15 мероприятий республиканского уровня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МОН, НАН (по согласованию), КНУ имени Ж.Баласагына (по согласованию), Фонд "Мурас"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Здравоохранение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предоставления медицинских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5 лабораторий, системы менеджмента качества (СМК)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не менее 95% охвата иммунизацией декретированного населения республики вакцинами, входящими в национальный календарь профилактических прививок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не менее 95% населения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Комплексного плана по санитарной охране территории Кыргызской Республики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постановления Правительства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проект Государственной программы по профилактике ВИЧ-инфекции на 2017-2021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Государственной программы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перинатального центра в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услуг по найму строительной компании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больницы в рамках грантового проекта "Бишкекская больница кыргызско-турецкой дружбы"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больницы в эксплуатацию</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донорских средств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систему прогнозирования и планирования демографических процессов, в том числе трудовых ресурсов, миграции и планирования населенных пунктов, включая размещение объектов социальной инфраструктуры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исследования для разработки демографического прогноза и формирования на его основе демографической политики.</w:t>
            </w:r>
          </w:p>
          <w:p>
            <w:pPr>
              <w:jc w:val="left"/>
            </w:pPr>
            <w:r>
              <w:rPr>
                <w:rFonts w:ascii="Arial" w:cs="Arial" w:eastAsia="Arial" w:hAnsi="Arial"/>
                <w:sz w:val="24"/>
                <w:szCs w:val="24"/>
              </w:rPr>
              <w:t xml:space="preserve">Демографический прогноз и демографическая политика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МЭ, НСК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показатели здоровья и снизить показатели смертности: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от сердечно-сосудистых заболеваний;</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Снижение показателя смертности от сердечно-сосудистых заболеваний 293,0 на 100000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материнской и детской смертности;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Снижение показателя материнской смертности до 38,3 на 100,0 тыс. родившихся живыми. Снижение показателя младенческой смертности до 17,9 на 1000 родившихся живыми. Снижение показателя детской смертности (в возрасте до 5 лет) до 20,9 на 1000 родившихся детей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от туберкулеза;</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Снижение показателя заболеваемости туберкулезом до менее 97,0 на 100,0 тыс. населения.</w:t>
            </w:r>
          </w:p>
          <w:p>
            <w:pPr>
              <w:jc w:val="left"/>
            </w:pPr>
            <w:r>
              <w:rPr>
                <w:rFonts w:ascii="Arial" w:cs="Arial" w:eastAsia="Arial" w:hAnsi="Arial"/>
                <w:sz w:val="24"/>
                <w:szCs w:val="24"/>
              </w:rPr>
              <w:t xml:space="preserve">Снижение показателя смертности от туберкулеза до менее 8 на 100,0 тыс.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от ВИЧ-инфекции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Стабилизация показателя числа новых заражений ВИЧ на 1000 среднегодового населения 0,19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систему "электронного правительства" Единую информационную систему здравоохранения, Единую базу лекарств и медицинских препаратов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организаций здравоохранения, осуществляющих закупки лекарственных средств и ИМН, с использованием классификатора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населения республики по реализуемым программам поддержки государственных гарантий и ДПОМС</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доверия населения к ФОМС путем увеличения количества встреч с населением, представителями организаций здравоохранения и НПО, публикаций в СМИ, выступлений по радио и телевидению по вопросам предоставления медицинских услуг в рамках поддержки государственных гарантий и ДПОМС</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Повсеместно на территории республики предоставлять государственную услугу - реализация полиса ОМС, в соответствии с утвержденным стандартом государственных услуг</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застрахованного населения республики к медицинским услугам по базовой программе ОМС</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охвата застрахованных граждан льготным лекарственным обеспечением по ДПОМС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предоставления медицинских услуг застрахованным гражданам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бесплатных полисов ОМС беременным женщинам, ставшим на учет на ПМСП</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электронного предоставления государственной услуги через центры обслуживания населения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получения полиса ОМС, исключение коррупционных схем в предоставлении государственной услуги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ГРС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размеры гарантированного минимального дохода (ГМД) и ежемесячного пособия малообеспеченным семьям (ЕПМС), имеющим детей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ГМД текущего года к размеру ГМД предыдущего года (не менее чем на 10%)</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ЕПМС текущего года к размеру ЕПМС предыдущего года (не менее чем на 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малообеспеченные семьи с низким статусом продовольственной безопасности дополнительной продуктовой помощью (мука, растительное масло), с учетом участия в общественно-полезных работах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малообеспеченных семей, получивших продуктовую помощь в обмен за участие в общественно-полезной работе (не менее 20,0 тыс. семей)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Всемирная продовольственная программа ООН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ВПП ООН</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Внедрить проекты ГЧП в сфере здравоохранения:</w:t>
            </w:r>
          </w:p>
          <w:p>
            <w:pPr>
              <w:jc w:val="left"/>
            </w:pPr>
            <w:r>
              <w:rPr>
                <w:rFonts w:ascii="Arial" w:cs="Arial" w:eastAsia="Arial" w:hAnsi="Arial"/>
                <w:sz w:val="24"/>
                <w:szCs w:val="24"/>
              </w:rPr>
              <w:t xml:space="preserve">1) Проект ГЧП "Установка компьютерных томографов в лечебно-профилактических организациях здравоохранения Кыргызской Республики на условиях ГЧП";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ТЭО</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Проект ГЧП "Организация и предоставление услуг гемодиализа в городах Бишкек, Ош и Джалал-Абад"</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Инициирование тендерных процедур по отбору частного партнера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Проект ГЧП "Организация централизованной лаборатории в г.Бишкек"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ТЭО и утверждение справки по проекту</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Проект ГЧП "Создание ангиографического центра на базе Национального госпиталя"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процедуры закупки консультационных услуг для разработки проекта ТЭО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охват дошкольным образованием детей от 5,5 до 7 лет за счет программ предшкольной подготовки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Оценочно 90 тысяч детей 5,5 - 7 лет охвачены предшкольной подготовкой в течение учебного года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профессиональной компетентности работников общеобразовательных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повышение квалификации - не менее 9000 педагогов и административных работников школ</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принципы нормативного бюджетного финансирования сферы образования (на подушевой основе)</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Осуществление системного перевода принципов финансирования учебных заведений на нормативное бюджетное финансирование (на подушевой основе).</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Пилотирование на уровне дошкольных образовательных организаций, штатная работа на уровне школы, пилотирование на уровне вузов.</w:t>
            </w:r>
          </w:p>
          <w:p>
            <w:pPr>
              <w:jc w:val="left"/>
            </w:pPr>
            <w:r>
              <w:rPr>
                <w:rFonts w:ascii="Arial" w:cs="Arial" w:eastAsia="Arial" w:hAnsi="Arial"/>
                <w:sz w:val="24"/>
                <w:szCs w:val="24"/>
              </w:rPr>
              <w:t xml:space="preserve">Пилотирование на уровне профессиональных лицеев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АНСПО, Проект АБР (по согласованию)</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Синхронизировать реформирование системы финансирования с системой управления образованием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Апробация пилотного проекта по самостоятельному выбору поставщиков товаров и услуг в пилотных государственных и муниципальных дошкольных и общеобразовательных организациях, обслуживаемых централизованной бухгалтерией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пакет проектов нормативных правовых актов об организации обучения детей с ограниченными возможностями здоровья в условиях специальных образовательных организаций и образовательных организаций общего типа на уровне дошкольного образования и школы</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возможностей доступа к образованию для детей с ограниченными возможностями здоровья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Фонда Евразия Центральной Азии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Апробировать проект Стандарта начального общего образования для детей с ограниченными возможностями здоровья в условиях инклюзивного подхода</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 за счет средств Фонда Евразия Центральной Азии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Выделить на подготовку кадров по инженерным направлениям не менее1000 бюджетных мест в ведущих вузах Кыргызстана и не менее 90 бюджетных мест на подготовку кадров в сфере управления</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новых категорий специалистов инженерных и управленческих профессий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Направить для обучения за рубежом не менее 200 граждан Кыргызской Республики согласно квотам межправительственных соглашений и международных договоров</w:t>
            </w:r>
          </w:p>
        </w:tc>
        <w:tc>
          <w:tcPr>
            <w:vMerge w:val="continue"/>
            <w:tcBorders>
              <w:top w:val="none" w:color="auto" w:sz="0"/>
              <w:left w:val="none" w:color="auto" w:sz="0"/>
              <w:bottom w:val="single" w:color="CBBF9E" w:sz="4"/>
              <w:right w:val="single" w:color="CBBF9E" w:sz="4"/>
            </w:tcBorders>
          </w:tcP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принимающей стороны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и реализация потенциала молодежи, развитие физической культуры и спорта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проведение мероприятия "Манас оюндары"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Успешное проведение игр. Развитие национальных видов спорта, популяризация и развитие видов этноспорта и традиционных игр</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на побережье озера Иссык-Куль базу спортивной подготовки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базы спортивной подготовки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отечественных спортсменов в зимних Азиатских играх в г.Саппоро (Япония)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медаль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отечественных спортсменов в Азиатских играх в закрытых помещениях в г.Ашхабад (Туркменистан)</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медалей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Вручить государственные молодежные премии им.Ч.Айтматова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награждение молодых заслуженных талантов, внесших вклад в воспитание молодежи и развитие страны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молодежный форум-лагерь "Жаш-Булак"</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участия 400 молодых людей в форум-лагере "Жаш-Булак". Повышение потенциала молодежи и формирование их гражданской позиции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Общественная безопасность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и их оснащение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охраны государственной границы и улучшение условий службы военнослужащих Государственной пограничной службы Кыргызской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социальных и экономических проектов в приграничных районах республики в целях минимизации миграции местного населения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мостов, школ и иной инфраструктуры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Передать функции следствия из органов Государственной таможенной службы при Правительстве Кыргызской Республики в уполномоченный государственный орган по расследованию уголовных дел по фактам контрабанды.</w:t>
            </w:r>
          </w:p>
        </w:tc>
        <w:tc>
          <w:tcPr>
            <w:tcW w:type="dxa" w:w="20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Оптимизирование штатной численности (сокращено количество аттестованных сотрудников), структуры и схемы управления Государственной таможенной службы при Правительстве Кыргызской Республики</w:t>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30.04.2017</w:t>
            </w:r>
          </w:p>
        </w:tc>
        <w:tc>
          <w:tcPr>
            <w:tcW w:type="dxa" w:w="1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ГСБЭП, ГТС</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положение о прохождении службы в органах Государственной таможенной службы при Правительстве Кыргызской Республики (в части присвоения специальных званий)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Децентрализовать систему органов внутренних дел и усилить силы и средства территориальных подразделений органов внутренних дел, за исключением Службы внутренних расследований и Следственной службы Министерства внутренних дел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функции контроля и анализа деятельности органов внутренних дел.</w:t>
            </w:r>
          </w:p>
          <w:p>
            <w:pPr>
              <w:jc w:val="left"/>
            </w:pPr>
            <w:r>
              <w:rPr>
                <w:rFonts w:ascii="Arial" w:cs="Arial" w:eastAsia="Arial" w:hAnsi="Arial"/>
                <w:sz w:val="24"/>
                <w:szCs w:val="24"/>
              </w:rPr>
              <w:t xml:space="preserve">Оптимизирование нагрузки сотрудников территориальных органов внутренних дел и улучшение качества их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судебно-экспертную службу при Правительстве Кыргызской Республики, передав соответствующие функции из Министерства внутренних дел Кыргызской Республики, Министерства здравоохранения Кыргызской Республики и Государственного центра судебных экспертиз при Министерстве юстиции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проведения судебных экспертиз. Уменьшение времени проведения экспертиз</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МВД, МЗ</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Создать в Министерстве внутренних дел Кыргызской Республики службы:</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АПКР</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криминальной милиции;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Эффективное осуществление предупреждения и раскрытия преступлений и правонарушений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общественной безопасности;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состояния обеспечения общественного порядка и профилактики правонарушений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борьбе с незаконным оборотом наркотиков;</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Изъятие тяжелых наркотиков. Выявление и разобщение преступных наркогруппировок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следственную службу;</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Повышение качества следствия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 противодействию экстремизму и незаконной миграции</w:t>
            </w:r>
          </w:p>
        </w:tc>
        <w:tc>
          <w:tcPr>
            <w:tcW w:type="dxa" w:w="20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Улучшение состояния профилактики экстремизма и незаконной миграции через проведение оперативно-профилактических мероприятий среди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внутренних расследований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нарушений законности среди личного состава сотрудников органов внутренних дел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эффективное противодействие преступности, надлежащее обеспечение общественного правопорядка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тяжких и особо тяжких преступлений. Уменьшение количества преступлений, совершенных в общественных местах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мероприятия по внедрению систем фото-видео фиксации, видеонаблюдения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нарушений правил дорожного движения в автоматическом режиме. Снижение количества ДТП</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ГКИТС, МГА</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количество автотранспортных средств, специального оборудования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необходимой материально-технической базы для работы Патрульной милиции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АПКР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Вывести Академию Министерства внутренних дел Кыргызской Республики из ведения Министерства внутренних дел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обучения сотрудников всех правоохранительных органов республики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ГСБЭП, ГСИН, ГТС, Генпрокуратура (по согласованию),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процесс подготовки сотрудников правоохранительных органов с учетом новых функциональных задач</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процесса подготовки сотрудников правоохранительных органов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ГСБЭП, ГСИН, ГТС, Генпрокуратура (по согласованию), МОН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подследственность правоохранительных органов с учетом современных вызовов и угроз, в том числе по преступлениям, связанным с терроризмом, экстремизмом, организованной преступностью, нелегальной миграцией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правоохранительных органов. Улучшение качества раскрытия и расследования преступлений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ГСБЭП, ГСИН, ГТС, Генпрокуратура (по согласованию), ВС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ГСБЭП единственным уполномоченным органом по борьбе с экономическими преступлениями и бытовой коррупцией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поправок в Уголовно-процессуальный кодекс Кыргызской Республики, оптимизация системы управления, увеличение штата сотрудников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предупреждения и пресечения правонарушений в сфере экономики, устранять причины и условия, способствующие экономическим правонарушениям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сбора налоговых, таможенных платежей. Обеспечение пополнения республиканского бюджета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ГСБЭП</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"Электронный КУП"</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Систематизирование информации о преступлениях и происшествиях. Ведение их своевременного учета. Минимизация количества укрытых материалов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Генпрокуратура (по согласованию), МВД, ГКНБ, ГСБЭП, ГСИН, ГТС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усилению сотрудничества между спецслужбами зарубежных государств, в том числе в части противодействия современным вызовам и угрозам</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совместных меморандумов и протоколов.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 ГСФР</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различных актов терроризма и экстремизма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21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оперативно-розыскные мероприятия по выявлению и пресечению деятельности членов террористических, религиозно-экстремистских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уголовной ответственности лиц, причастных к деятельности террористических, религиозно-экстремистских организаций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Изъятие и недопущение фактов использования среди населения запрещенных литературы и материалов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Пресечь каналы въезда/выезда в/из Кыргызской Республики членов террористических, религиозно-экстремистских организаций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фактов выезда граждан Кыргызской Республики в зоны боевых конфликтов и оседания на территории республики граждан, причастных к деятельности террористических, религиозно-экстремистских организаций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ГПС, МВД, ГСФР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национальную оценку рисков легализации (отмывания) преступных доходов и финансирования террористической 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рисков легализации (отмывания) преступных доходов и финансирования террористической деятельности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дифференцированное содержание осужденных в учреждениях № 16 и 27 Государственной службы исполнения наказаний при Правительстве Кыргызской Республики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в зависимости от видов наказания и степени опасности их для общества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одну исправительную колонию особого режима для содержания осужденных к пожизненному лишению свободы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осужденных к пожизненному лишению свободы отдельно от других осужденных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раздельное содержание осужденных за религиозно-экстремистскую и террористическую деятельность от основной массы осужденных. Построить локальные участки и камерные помещения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осужденных за религиозно-экстремистскую и террористическую деятельность отдельно от основной массы осужденных</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системы подавления сигналов сотовой связи в отдельных исправительных учреждениях</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оборудования подавления сигналов сотовой связи в 5 исправительных учреждениях Государственной службы исполнения наказаний при Правительстве Кыргызской Республике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 ГКИТС, МФ</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антитеррористическую паспортизацию всех объектов жизнедеятельности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угроз и рисков проведения террористических актов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ГКДР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проведение специальных мероприятий "Условный террорист", "Условный нарушитель" в рамках проведения специальных мероприятий для субъектов антитеррористической деятельности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антитеррористической защищенности стратегических объектов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субъекты антитеррористической деятельности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международную встречу экспертов по вопросу повышения антитеррористической защищенности стратегически важных объектов в Кыргызстане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передового опыта зарубежных стран по комплексному наращиванию антитеррористического потенциала страны, его распространение и использование в стране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Сохранение окружающей среды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низкоуглеродного развития в целях смягчения антропогенного влияния на окружающую среду</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для предотвращения и смягчения последствий изменения климата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риски для окружающей среды от производственной деятельности. Проведение государственной экологической экспертизы инвестиционных проектов</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предотвращение экологического риска и опасности намечаемых решений</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 по мере поступления</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лесов на всей территории страны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Посадка лесных культур на территории государственного лесного фонда на площади 1100 га.</w:t>
            </w:r>
          </w:p>
          <w:p>
            <w:pPr>
              <w:jc w:val="left"/>
            </w:pPr>
            <w:r>
              <w:rPr>
                <w:rFonts w:ascii="Arial" w:cs="Arial" w:eastAsia="Arial" w:hAnsi="Arial"/>
                <w:sz w:val="24"/>
                <w:szCs w:val="24"/>
              </w:rPr>
              <w:t xml:space="preserve">Выращивание посадочного материала лесных пород для лесоразведения в количестве 500 тыс. штук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сеть аккредитованных экологических (аналитических) лабораторий по республике</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документов, внесенный на рассмотрение в Центр аккредитации по международному стандарту ИСО/МЭК 17025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ежегодную очистку прибрежной зоны озера Иссык-Куль от ТБО</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Очищение от бытового мусора прибрежной зоны озера Иссык-Куль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20.06.2017</w:t>
            </w:r>
          </w:p>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очистку дна озера Иссык-Куль (северное побережье) после завершения туристического сезона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экологической и социальной среды в регионе, снижение нагрузки на экосистему озера Иссык-Куль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очистку дна озера Сон-Куль от брошенных сетей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нагрузки на экосистему озера Сон-Куль</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15.07.2017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 2017 году Глобальный саммит по сохранению снежного барса с участием глав государств ареала обитания снежного барса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Оргкомитета, наличие межведомственного плана, Глобальный саммит по сохранению снежного барса с участием глав государств ареала обитания снежного барса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акцию "Очистка пика Хан-Тенгри" от бытового мусора</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Очищение от бытового мусора морен и открытых частей ледника пика Хан-Тенгри</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комплекс мер по обеспечению экологической безопасности на 2016-2020 годы</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Рациональное использование ресурсов и сохранение окружающей среды</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преференции и механизмы финансовой поддержки проектов в сфере развития возобновляемых источников электроэнергии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некоторые законодательные акты Кыргызской Республики в сфере возобновляемых источников энергии (законы Кыргызской Республики "О возобновляемых источниках энергии" и "Об электроэнергетике")</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01.06.2016</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поверочный комплекс для гидрометеорологического оборудования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1 комплекса для самостоятельной проверки оборудования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проекта ВБ модернизация гидрометеорологической деятельности в ЦА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аварийно-восстановительные работы, капитальное строительство и специальные предупредительные и ликвидационные мероприятия</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10 тыс. жилых домов и социальных объектов, объектов инфраструктуры от чрезвычайных ситуаций природного характера</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3 пожарно-спасательные части на местах (в Ноокатском, Тогуз-Тороуском районах, г.Кызыл-Кыя) и 2 военизированные противопожарные части (с.Ак-Татыр Баткенского района, мкр. Амир Тимур г.Ош)</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3-х пожарно-спасательных частей и 2-х военизированных противопожарных частей для повышения оперативности реагирования</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населения с охватом наиболее уязвимых городов и айылных аймаков действиям при угрозе и возникновения чрезвычайных ситуаций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15000 человек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показ социальных роликов о рисках стихийных бедствий по телерадиовещательными компаниями и информирование населения через средства массовой информации</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показов социальных роликов</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государственных и муниципальных служащих с охватом наиболее уязвимых городов и айылных аймаков по проведению мероприятий Гражданской защиты при угрозе и возникновении чрезвычайных ситуаций</w:t>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500 человек</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15.12.2017</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предусмотренных в республиканском бюджете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АПКР</w:t>
      </w:r>
      <w:r>
        <w:rPr>
          <w:rFonts w:ascii="Arial" w:cs="Arial" w:eastAsia="Arial" w:hAnsi="Arial"/>
          <w:sz w:val="24"/>
          <w:szCs w:val="24"/>
        </w:rPr>
        <w:t xml:space="preserve"> - Аппарат Правительства Кыргызской Республики</w:t>
      </w:r>
    </w:p>
    <w:p>
      <w:pPr>
        <w:spacing w:after="60"/>
        <w:ind w:firstLine="567"/>
        <w:jc w:val="both"/>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60"/>
        <w:ind w:firstLine="567"/>
        <w:jc w:val="both"/>
      </w:pPr>
      <w:r>
        <w:rPr>
          <w:rFonts w:ascii="Arial" w:cs="Arial" w:eastAsia="Arial" w:hAnsi="Arial"/>
          <w:b/>
          <w:bCs/>
          <w:sz w:val="24"/>
          <w:szCs w:val="24"/>
        </w:rPr>
        <w:t xml:space="preserve">МВД</w:t>
      </w:r>
      <w:r>
        <w:rPr>
          <w:rFonts w:ascii="Arial" w:cs="Arial" w:eastAsia="Arial" w:hAnsi="Arial"/>
          <w:sz w:val="24"/>
          <w:szCs w:val="24"/>
        </w:rPr>
        <w:t xml:space="preserve"> - Министерство внутренних дел Кыргызской Республики</w:t>
      </w:r>
    </w:p>
    <w:p>
      <w:pPr>
        <w:spacing w:after="60"/>
        <w:ind w:firstLine="567"/>
        <w:jc w:val="both"/>
      </w:pPr>
      <w:r>
        <w:rPr>
          <w:rFonts w:ascii="Arial" w:cs="Arial" w:eastAsia="Arial" w:hAnsi="Arial"/>
          <w:b/>
          <w:bCs/>
          <w:sz w:val="24"/>
          <w:szCs w:val="24"/>
        </w:rPr>
        <w:t xml:space="preserve">МЮ</w:t>
      </w:r>
      <w:r>
        <w:rPr>
          <w:rFonts w:ascii="Arial" w:cs="Arial" w:eastAsia="Arial" w:hAnsi="Arial"/>
          <w:sz w:val="24"/>
          <w:szCs w:val="24"/>
        </w:rPr>
        <w:t xml:space="preserve"> - Министерство юстиции Кыргызской Республики</w:t>
      </w:r>
    </w:p>
    <w:p>
      <w:pPr>
        <w:spacing w:after="60"/>
        <w:ind w:firstLine="567"/>
        <w:jc w:val="both"/>
      </w:pPr>
      <w:r>
        <w:rPr>
          <w:rFonts w:ascii="Arial" w:cs="Arial" w:eastAsia="Arial" w:hAnsi="Arial"/>
          <w:b/>
          <w:bCs/>
          <w:sz w:val="24"/>
          <w:szCs w:val="24"/>
        </w:rPr>
        <w:t xml:space="preserve">МФ</w:t>
      </w:r>
      <w:r>
        <w:rPr>
          <w:rFonts w:ascii="Arial" w:cs="Arial" w:eastAsia="Arial" w:hAnsi="Arial"/>
          <w:sz w:val="24"/>
          <w:szCs w:val="24"/>
        </w:rPr>
        <w:t xml:space="preserve"> - Министерство финансов Кыргызской Республики</w:t>
      </w:r>
    </w:p>
    <w:p>
      <w:pPr>
        <w:spacing w:after="60"/>
        <w:ind w:firstLine="567"/>
        <w:jc w:val="both"/>
      </w:pPr>
      <w:r>
        <w:rPr>
          <w:rFonts w:ascii="Arial" w:cs="Arial" w:eastAsia="Arial" w:hAnsi="Arial"/>
          <w:b/>
          <w:bCs/>
          <w:sz w:val="24"/>
          <w:szCs w:val="24"/>
        </w:rPr>
        <w:t xml:space="preserve">МЭ</w:t>
      </w:r>
      <w:r>
        <w:rPr>
          <w:rFonts w:ascii="Arial" w:cs="Arial" w:eastAsia="Arial" w:hAnsi="Arial"/>
          <w:sz w:val="24"/>
          <w:szCs w:val="24"/>
        </w:rPr>
        <w:t xml:space="preserve"> - Министерство экономики Кыргызской Республики</w:t>
      </w:r>
    </w:p>
    <w:p>
      <w:pPr>
        <w:spacing w:after="60"/>
        <w:ind w:firstLine="567"/>
        <w:jc w:val="both"/>
      </w:pPr>
      <w:r>
        <w:rPr>
          <w:rFonts w:ascii="Arial" w:cs="Arial" w:eastAsia="Arial" w:hAnsi="Arial"/>
          <w:b/>
          <w:bCs/>
          <w:sz w:val="24"/>
          <w:szCs w:val="24"/>
        </w:rPr>
        <w:t xml:space="preserve">МСХППМ</w:t>
      </w:r>
      <w:r>
        <w:rPr>
          <w:rFonts w:ascii="Arial" w:cs="Arial" w:eastAsia="Arial" w:hAnsi="Arial"/>
          <w:sz w:val="24"/>
          <w:szCs w:val="24"/>
        </w:rPr>
        <w:t xml:space="preserve"> -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МТД</w:t>
      </w:r>
      <w:r>
        <w:rPr>
          <w:rFonts w:ascii="Arial" w:cs="Arial" w:eastAsia="Arial" w:hAnsi="Arial"/>
          <w:sz w:val="24"/>
          <w:szCs w:val="24"/>
        </w:rPr>
        <w:t xml:space="preserve"> - Министерство транспорта и дорог Кыргызской Республики</w:t>
      </w:r>
    </w:p>
    <w:p>
      <w:pPr>
        <w:spacing w:after="60"/>
        <w:ind w:firstLine="567"/>
        <w:jc w:val="both"/>
      </w:pPr>
      <w:r>
        <w:rPr>
          <w:rFonts w:ascii="Arial" w:cs="Arial" w:eastAsia="Arial" w:hAnsi="Arial"/>
          <w:b/>
          <w:bCs/>
          <w:sz w:val="24"/>
          <w:szCs w:val="24"/>
        </w:rPr>
        <w:t xml:space="preserve">МЧС</w:t>
      </w:r>
      <w:r>
        <w:rPr>
          <w:rFonts w:ascii="Arial" w:cs="Arial" w:eastAsia="Arial" w:hAnsi="Arial"/>
          <w:sz w:val="24"/>
          <w:szCs w:val="24"/>
        </w:rPr>
        <w:t xml:space="preserve"> - Министерство чрезвычайных ситуаций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МКИТ</w:t>
      </w:r>
      <w:r>
        <w:rPr>
          <w:rFonts w:ascii="Arial" w:cs="Arial" w:eastAsia="Arial" w:hAnsi="Arial"/>
          <w:sz w:val="24"/>
          <w:szCs w:val="24"/>
        </w:rPr>
        <w:t xml:space="preserve">- Министерство культуры, информации и туризма Кыргызской Республики</w:t>
      </w:r>
    </w:p>
    <w:p>
      <w:pPr>
        <w:spacing w:after="60"/>
        <w:ind w:firstLine="567"/>
        <w:jc w:val="both"/>
      </w:pPr>
      <w:r>
        <w:rPr>
          <w:rFonts w:ascii="Arial" w:cs="Arial" w:eastAsia="Arial" w:hAnsi="Arial"/>
          <w:b/>
          <w:bCs/>
          <w:sz w:val="24"/>
          <w:szCs w:val="24"/>
        </w:rPr>
        <w:t xml:space="preserve">МТСР</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ГКНБ</w:t>
      </w:r>
      <w:r>
        <w:rPr>
          <w:rFonts w:ascii="Arial" w:cs="Arial" w:eastAsia="Arial" w:hAnsi="Arial"/>
          <w:sz w:val="24"/>
          <w:szCs w:val="24"/>
        </w:rPr>
        <w:t xml:space="preserve"> - Государственный комитет национальной безопасности Кыргызской Республики</w:t>
      </w:r>
    </w:p>
    <w:p>
      <w:pPr>
        <w:spacing w:after="60"/>
        <w:ind w:firstLine="567"/>
        <w:jc w:val="both"/>
      </w:pPr>
      <w:r>
        <w:rPr>
          <w:rFonts w:ascii="Arial" w:cs="Arial" w:eastAsia="Arial" w:hAnsi="Arial"/>
          <w:b/>
          <w:bCs/>
          <w:sz w:val="24"/>
          <w:szCs w:val="24"/>
        </w:rPr>
        <w:t xml:space="preserve">ГКПЭН</w:t>
      </w:r>
      <w:r>
        <w:rPr>
          <w:rFonts w:ascii="Arial" w:cs="Arial" w:eastAsia="Arial" w:hAnsi="Arial"/>
          <w:sz w:val="24"/>
          <w:szCs w:val="24"/>
        </w:rPr>
        <w:t xml:space="preserve">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b/>
          <w:bCs/>
          <w:sz w:val="24"/>
          <w:szCs w:val="24"/>
        </w:rPr>
        <w:t xml:space="preserve">ГКИТС</w:t>
      </w:r>
      <w:r>
        <w:rPr>
          <w:rFonts w:ascii="Arial" w:cs="Arial" w:eastAsia="Arial" w:hAnsi="Arial"/>
          <w:sz w:val="24"/>
          <w:szCs w:val="24"/>
        </w:rPr>
        <w:t xml:space="preserve"> - Государственный комитет информационных технологий и связи Кыргызской Республики</w:t>
      </w:r>
    </w:p>
    <w:p>
      <w:pPr>
        <w:spacing w:after="60"/>
        <w:ind w:firstLine="567"/>
        <w:jc w:val="both"/>
      </w:pPr>
      <w:r>
        <w:rPr>
          <w:rFonts w:ascii="Arial" w:cs="Arial" w:eastAsia="Arial" w:hAnsi="Arial"/>
          <w:b/>
          <w:bCs/>
          <w:sz w:val="24"/>
          <w:szCs w:val="24"/>
        </w:rPr>
        <w:t xml:space="preserve">ГАООСЛХ</w:t>
      </w:r>
      <w:r>
        <w:rPr>
          <w:rFonts w:ascii="Arial" w:cs="Arial" w:eastAsia="Arial" w:hAnsi="Arial"/>
          <w:sz w:val="24"/>
          <w:szCs w:val="24"/>
        </w:rPr>
        <w:t xml:space="preserve"> - 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b/>
          <w:bCs/>
          <w:sz w:val="24"/>
          <w:szCs w:val="24"/>
        </w:rPr>
        <w:t xml:space="preserve">ГАМФКС</w:t>
      </w:r>
      <w:r>
        <w:rPr>
          <w:rFonts w:ascii="Arial" w:cs="Arial" w:eastAsia="Arial" w:hAnsi="Arial"/>
          <w:sz w:val="24"/>
          <w:szCs w:val="24"/>
        </w:rPr>
        <w:t xml:space="preserve"> -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b/>
          <w:bCs/>
          <w:sz w:val="24"/>
          <w:szCs w:val="24"/>
        </w:rPr>
        <w:t xml:space="preserve">ГААР</w:t>
      </w:r>
      <w:r>
        <w:rPr>
          <w:rFonts w:ascii="Arial" w:cs="Arial" w:eastAsia="Arial" w:hAnsi="Arial"/>
          <w:sz w:val="24"/>
          <w:szCs w:val="24"/>
        </w:rPr>
        <w:t xml:space="preserve"> - Государственное агентство антимонопольного регулирования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ГАМСУМО</w:t>
      </w:r>
      <w:r>
        <w:rPr>
          <w:rFonts w:ascii="Arial" w:cs="Arial" w:eastAsia="Arial" w:hAnsi="Arial"/>
          <w:sz w:val="24"/>
          <w:szCs w:val="24"/>
        </w:rPr>
        <w:t xml:space="preserve"> - Государственное агентство по делам местного самоуправления и межэтнических отношений при Правительстве Кыргызской Республики</w:t>
      </w:r>
    </w:p>
    <w:p>
      <w:pPr>
        <w:spacing w:after="60"/>
        <w:ind w:firstLine="567"/>
        <w:jc w:val="both"/>
      </w:pPr>
      <w:r>
        <w:rPr>
          <w:rFonts w:ascii="Arial" w:cs="Arial" w:eastAsia="Arial" w:hAnsi="Arial"/>
          <w:b/>
          <w:bCs/>
          <w:sz w:val="24"/>
          <w:szCs w:val="24"/>
        </w:rPr>
        <w:t xml:space="preserve">ГАРТЭК</w:t>
      </w:r>
      <w:r>
        <w:rPr>
          <w:rFonts w:ascii="Arial" w:cs="Arial" w:eastAsia="Arial" w:hAnsi="Arial"/>
          <w:sz w:val="24"/>
          <w:szCs w:val="24"/>
        </w:rPr>
        <w:t xml:space="preserve"> - 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при Правительстве Кыргызской Республики</w:t>
      </w:r>
    </w:p>
    <w:p>
      <w:pPr>
        <w:spacing w:after="60"/>
        <w:ind w:firstLine="567"/>
        <w:jc w:val="both"/>
      </w:pPr>
      <w:r>
        <w:rPr>
          <w:rFonts w:ascii="Arial" w:cs="Arial" w:eastAsia="Arial" w:hAnsi="Arial"/>
          <w:b/>
          <w:bCs/>
          <w:sz w:val="24"/>
          <w:szCs w:val="24"/>
        </w:rPr>
        <w:t xml:space="preserve">ГНС</w:t>
      </w:r>
      <w:r>
        <w:rPr>
          <w:rFonts w:ascii="Arial" w:cs="Arial" w:eastAsia="Arial" w:hAnsi="Arial"/>
          <w:sz w:val="24"/>
          <w:szCs w:val="24"/>
        </w:rPr>
        <w:t xml:space="preserve"> - Государственная налоговая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ГТС</w:t>
      </w:r>
      <w:r>
        <w:rPr>
          <w:rFonts w:ascii="Arial" w:cs="Arial" w:eastAsia="Arial" w:hAnsi="Arial"/>
          <w:sz w:val="24"/>
          <w:szCs w:val="24"/>
        </w:rPr>
        <w:t xml:space="preserve"> - Государственная таможенная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Госфиннадзор</w:t>
      </w:r>
      <w:r>
        <w:rPr>
          <w:rFonts w:ascii="Arial" w:cs="Arial" w:eastAsia="Arial" w:hAnsi="Arial"/>
          <w:sz w:val="24"/>
          <w:szCs w:val="24"/>
        </w:rPr>
        <w:t xml:space="preserve"> - Государственная служба регулирования и надзора за финансовым рынком при Правительстве Кыргызской Республики</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ГСБЭП</w:t>
      </w:r>
      <w:r>
        <w:rPr>
          <w:rFonts w:ascii="Arial" w:cs="Arial" w:eastAsia="Arial" w:hAnsi="Arial"/>
          <w:sz w:val="24"/>
          <w:szCs w:val="24"/>
        </w:rPr>
        <w:t xml:space="preserve"> - Государственная служба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b/>
          <w:bCs/>
          <w:sz w:val="24"/>
          <w:szCs w:val="24"/>
        </w:rPr>
        <w:t xml:space="preserve">ГСФР</w:t>
      </w:r>
      <w:r>
        <w:rPr>
          <w:rFonts w:ascii="Arial" w:cs="Arial" w:eastAsia="Arial" w:hAnsi="Arial"/>
          <w:sz w:val="24"/>
          <w:szCs w:val="24"/>
        </w:rPr>
        <w:t xml:space="preserve">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b/>
          <w:bCs/>
          <w:sz w:val="24"/>
          <w:szCs w:val="24"/>
        </w:rPr>
        <w:t xml:space="preserve">Кыргызпатент</w:t>
      </w:r>
      <w:r>
        <w:rPr>
          <w:rFonts w:ascii="Arial" w:cs="Arial" w:eastAsia="Arial" w:hAnsi="Arial"/>
          <w:sz w:val="24"/>
          <w:szCs w:val="24"/>
        </w:rPr>
        <w:t xml:space="preserve"> - Государственная служба интеллектуальной собственности и инноваций при Правительстве Кыргызской Республики</w:t>
      </w:r>
    </w:p>
    <w:p>
      <w:pPr>
        <w:spacing w:after="60"/>
        <w:ind w:firstLine="567"/>
        <w:jc w:val="both"/>
      </w:pPr>
      <w:r>
        <w:rPr>
          <w:rFonts w:ascii="Arial" w:cs="Arial" w:eastAsia="Arial" w:hAnsi="Arial"/>
          <w:b/>
          <w:bCs/>
          <w:sz w:val="24"/>
          <w:szCs w:val="24"/>
        </w:rPr>
        <w:t xml:space="preserve">ГСМ</w:t>
      </w:r>
      <w:r>
        <w:rPr>
          <w:rFonts w:ascii="Arial" w:cs="Arial" w:eastAsia="Arial" w:hAnsi="Arial"/>
          <w:sz w:val="24"/>
          <w:szCs w:val="24"/>
        </w:rPr>
        <w:t xml:space="preserve"> - Государственная служба миграции при Правительстве Кыргызской Республики</w:t>
      </w:r>
    </w:p>
    <w:p>
      <w:pPr>
        <w:spacing w:after="60"/>
        <w:ind w:firstLine="567"/>
        <w:jc w:val="both"/>
      </w:pPr>
      <w:r>
        <w:rPr>
          <w:rFonts w:ascii="Arial" w:cs="Arial" w:eastAsia="Arial" w:hAnsi="Arial"/>
          <w:b/>
          <w:bCs/>
          <w:sz w:val="24"/>
          <w:szCs w:val="24"/>
        </w:rPr>
        <w:t xml:space="preserve">ФГМР</w:t>
      </w:r>
      <w:r>
        <w:rPr>
          <w:rFonts w:ascii="Arial" w:cs="Arial" w:eastAsia="Arial" w:hAnsi="Arial"/>
          <w:sz w:val="24"/>
          <w:szCs w:val="24"/>
        </w:rPr>
        <w:t xml:space="preserve"> - Фонд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b/>
          <w:bCs/>
          <w:sz w:val="24"/>
          <w:szCs w:val="24"/>
        </w:rPr>
        <w:t xml:space="preserve">ФОМС</w:t>
      </w:r>
      <w:r>
        <w:rPr>
          <w:rFonts w:ascii="Arial" w:cs="Arial" w:eastAsia="Arial" w:hAnsi="Arial"/>
          <w:sz w:val="24"/>
          <w:szCs w:val="24"/>
        </w:rPr>
        <w:t xml:space="preserve"> -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b/>
          <w:bCs/>
          <w:sz w:val="24"/>
          <w:szCs w:val="24"/>
        </w:rPr>
        <w:t xml:space="preserve">ФУГИ</w:t>
      </w:r>
      <w:r>
        <w:rPr>
          <w:rFonts w:ascii="Arial" w:cs="Arial" w:eastAsia="Arial" w:hAnsi="Arial"/>
          <w:sz w:val="24"/>
          <w:szCs w:val="24"/>
        </w:rPr>
        <w:t xml:space="preserve"> - 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b/>
          <w:bCs/>
          <w:sz w:val="24"/>
          <w:szCs w:val="24"/>
        </w:rPr>
        <w:t xml:space="preserve">ГИВФБ</w:t>
      </w:r>
      <w:r>
        <w:rPr>
          <w:rFonts w:ascii="Arial" w:cs="Arial" w:eastAsia="Arial" w:hAnsi="Arial"/>
          <w:sz w:val="24"/>
          <w:szCs w:val="24"/>
        </w:rPr>
        <w:t xml:space="preserve"> - Государственная инспекция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b/>
          <w:bCs/>
          <w:sz w:val="24"/>
          <w:szCs w:val="24"/>
        </w:rPr>
        <w:t xml:space="preserve">ГПС</w:t>
      </w:r>
      <w:r>
        <w:rPr>
          <w:rFonts w:ascii="Arial" w:cs="Arial" w:eastAsia="Arial" w:hAnsi="Arial"/>
          <w:sz w:val="24"/>
          <w:szCs w:val="24"/>
        </w:rPr>
        <w:t xml:space="preserve"> - Государственная пограничная служба Кыргызской Республики</w:t>
      </w:r>
    </w:p>
    <w:p>
      <w:pPr>
        <w:spacing w:after="60"/>
        <w:ind w:firstLine="567"/>
        <w:jc w:val="both"/>
      </w:pPr>
      <w:r>
        <w:rPr>
          <w:rFonts w:ascii="Arial" w:cs="Arial" w:eastAsia="Arial" w:hAnsi="Arial"/>
          <w:b/>
          <w:bCs/>
          <w:sz w:val="24"/>
          <w:szCs w:val="24"/>
        </w:rPr>
        <w:t xml:space="preserve">Соцфонд</w:t>
      </w:r>
      <w:r>
        <w:rPr>
          <w:rFonts w:ascii="Arial" w:cs="Arial" w:eastAsia="Arial" w:hAnsi="Arial"/>
          <w:sz w:val="24"/>
          <w:szCs w:val="24"/>
        </w:rPr>
        <w:t xml:space="preserve"> - Социальный фонд Кыргызской Республики</w:t>
      </w:r>
    </w:p>
    <w:p>
      <w:pPr>
        <w:spacing w:after="60"/>
        <w:ind w:firstLine="567"/>
        <w:jc w:val="both"/>
      </w:pPr>
      <w:r>
        <w:rPr>
          <w:rFonts w:ascii="Arial" w:cs="Arial" w:eastAsia="Arial" w:hAnsi="Arial"/>
          <w:b/>
          <w:bCs/>
          <w:sz w:val="24"/>
          <w:szCs w:val="24"/>
        </w:rPr>
        <w:t xml:space="preserve">НИСИ</w:t>
      </w:r>
      <w:r>
        <w:rPr>
          <w:rFonts w:ascii="Arial" w:cs="Arial" w:eastAsia="Arial" w:hAnsi="Arial"/>
          <w:sz w:val="24"/>
          <w:szCs w:val="24"/>
        </w:rPr>
        <w:t xml:space="preserve"> - Национальный институт стратегических исследований Кыргызской Республики</w:t>
      </w:r>
    </w:p>
    <w:p>
      <w:pPr>
        <w:spacing w:after="60"/>
        <w:ind w:firstLine="567"/>
        <w:jc w:val="both"/>
      </w:pPr>
      <w:r>
        <w:rPr>
          <w:rFonts w:ascii="Arial" w:cs="Arial" w:eastAsia="Arial" w:hAnsi="Arial"/>
          <w:b/>
          <w:bCs/>
          <w:sz w:val="24"/>
          <w:szCs w:val="24"/>
        </w:rPr>
        <w:t xml:space="preserve">Генпрокуратура</w:t>
      </w:r>
      <w:r>
        <w:rPr>
          <w:rFonts w:ascii="Arial" w:cs="Arial" w:eastAsia="Arial" w:hAnsi="Arial"/>
          <w:sz w:val="24"/>
          <w:szCs w:val="24"/>
        </w:rPr>
        <w:t xml:space="preserve"> - Генеральная прокуратура Кыргызской Республики</w:t>
      </w:r>
    </w:p>
    <w:p>
      <w:pPr>
        <w:spacing w:after="60"/>
        <w:ind w:firstLine="567"/>
        <w:jc w:val="both"/>
      </w:pPr>
      <w:r>
        <w:rPr>
          <w:rFonts w:ascii="Arial" w:cs="Arial" w:eastAsia="Arial" w:hAnsi="Arial"/>
          <w:b/>
          <w:bCs/>
          <w:sz w:val="24"/>
          <w:szCs w:val="24"/>
        </w:rPr>
        <w:t xml:space="preserve">ГКС</w:t>
      </w:r>
      <w:r>
        <w:rPr>
          <w:rFonts w:ascii="Arial" w:cs="Arial" w:eastAsia="Arial" w:hAnsi="Arial"/>
          <w:sz w:val="24"/>
          <w:szCs w:val="24"/>
        </w:rPr>
        <w:t xml:space="preserve"> - Государственная кадровая служба Кыргызской Республики</w:t>
      </w:r>
    </w:p>
    <w:p>
      <w:pPr>
        <w:spacing w:after="60"/>
        <w:ind w:firstLine="567"/>
        <w:jc w:val="both"/>
      </w:pPr>
      <w:r>
        <w:rPr>
          <w:rFonts w:ascii="Arial" w:cs="Arial" w:eastAsia="Arial" w:hAnsi="Arial"/>
          <w:b/>
          <w:bCs/>
          <w:sz w:val="24"/>
          <w:szCs w:val="24"/>
        </w:rPr>
        <w:t xml:space="preserve">ГКДР</w:t>
      </w:r>
      <w:r>
        <w:rPr>
          <w:rFonts w:ascii="Arial" w:cs="Arial" w:eastAsia="Arial" w:hAnsi="Arial"/>
          <w:sz w:val="24"/>
          <w:szCs w:val="24"/>
        </w:rPr>
        <w:t xml:space="preserve"> - Государственная комиссия по делам религий Кыргызской Республики</w:t>
      </w:r>
    </w:p>
    <w:p>
      <w:pPr>
        <w:spacing w:after="60"/>
        <w:ind w:firstLine="567"/>
        <w:jc w:val="both"/>
      </w:pPr>
      <w:r>
        <w:rPr>
          <w:rFonts w:ascii="Arial" w:cs="Arial" w:eastAsia="Arial" w:hAnsi="Arial"/>
          <w:b/>
          <w:bCs/>
          <w:sz w:val="24"/>
          <w:szCs w:val="24"/>
        </w:rPr>
        <w:t xml:space="preserve">НСК</w:t>
      </w:r>
      <w:r>
        <w:rPr>
          <w:rFonts w:ascii="Arial" w:cs="Arial" w:eastAsia="Arial" w:hAnsi="Arial"/>
          <w:sz w:val="24"/>
          <w:szCs w:val="24"/>
        </w:rPr>
        <w:t xml:space="preserve"> - Национальный статистический комитет Кыргызской Республики</w:t>
      </w:r>
    </w:p>
    <w:p>
      <w:pPr>
        <w:spacing w:after="60"/>
        <w:ind w:firstLine="567"/>
        <w:jc w:val="both"/>
      </w:pPr>
      <w:r>
        <w:rPr>
          <w:rFonts w:ascii="Arial" w:cs="Arial" w:eastAsia="Arial" w:hAnsi="Arial"/>
          <w:b/>
          <w:bCs/>
          <w:sz w:val="24"/>
          <w:szCs w:val="24"/>
        </w:rPr>
        <w:t xml:space="preserve">НБКР</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b/>
          <w:bCs/>
          <w:sz w:val="24"/>
          <w:szCs w:val="24"/>
        </w:rPr>
        <w:t xml:space="preserve">ПП ПКР</w:t>
      </w:r>
      <w:r>
        <w:rPr>
          <w:rFonts w:ascii="Arial" w:cs="Arial" w:eastAsia="Arial" w:hAnsi="Arial"/>
          <w:sz w:val="24"/>
          <w:szCs w:val="24"/>
        </w:rPr>
        <w:t xml:space="preserve"> - полномочные представители Правительства Кыргызской Республики</w:t>
      </w:r>
    </w:p>
    <w:p>
      <w:pPr>
        <w:spacing w:after="60"/>
        <w:ind w:firstLine="567"/>
        <w:jc w:val="both"/>
      </w:pPr>
      <w:r>
        <w:rPr>
          <w:rFonts w:ascii="Arial" w:cs="Arial" w:eastAsia="Arial" w:hAnsi="Arial"/>
          <w:b/>
          <w:bCs/>
          <w:sz w:val="24"/>
          <w:szCs w:val="24"/>
        </w:rPr>
        <w:t xml:space="preserve">ГАПИЭ</w:t>
      </w:r>
      <w:r>
        <w:rPr>
          <w:rFonts w:ascii="Arial" w:cs="Arial" w:eastAsia="Arial" w:hAnsi="Arial"/>
          <w:sz w:val="24"/>
          <w:szCs w:val="24"/>
        </w:rPr>
        <w:t xml:space="preserve"> - Государственное Агентство по продвижению инвестиций и экспорта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ЦСМ</w:t>
      </w:r>
      <w:r>
        <w:rPr>
          <w:rFonts w:ascii="Arial" w:cs="Arial" w:eastAsia="Arial" w:hAnsi="Arial"/>
          <w:sz w:val="24"/>
          <w:szCs w:val="24"/>
        </w:rPr>
        <w:t xml:space="preserve"> - Центр стандартизации и метрологии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ДВХМ</w:t>
      </w:r>
      <w:r>
        <w:rPr>
          <w:rFonts w:ascii="Arial" w:cs="Arial" w:eastAsia="Arial" w:hAnsi="Arial"/>
          <w:sz w:val="24"/>
          <w:szCs w:val="24"/>
        </w:rPr>
        <w:t xml:space="preserve"> - Департамент водного хозяйства и мелиорации при Министерстве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b/>
          <w:bCs/>
          <w:sz w:val="24"/>
          <w:szCs w:val="24"/>
        </w:rPr>
        <w:t xml:space="preserve">АГА</w:t>
      </w:r>
      <w:r>
        <w:rPr>
          <w:rFonts w:ascii="Arial" w:cs="Arial" w:eastAsia="Arial" w:hAnsi="Arial"/>
          <w:sz w:val="24"/>
          <w:szCs w:val="24"/>
        </w:rPr>
        <w:t xml:space="preserve"> - Агентство гражданской авиации при Министерстве транспорта и дорог Кыргызской Республики</w:t>
      </w:r>
    </w:p>
    <w:p>
      <w:pPr>
        <w:spacing w:after="60"/>
        <w:ind w:firstLine="567"/>
        <w:jc w:val="both"/>
      </w:pPr>
      <w:r>
        <w:rPr>
          <w:rFonts w:ascii="Arial" w:cs="Arial" w:eastAsia="Arial" w:hAnsi="Arial"/>
          <w:b/>
          <w:bCs/>
          <w:sz w:val="24"/>
          <w:szCs w:val="24"/>
        </w:rPr>
        <w:t xml:space="preserve">АНСПО</w:t>
      </w:r>
      <w:r>
        <w:rPr>
          <w:rFonts w:ascii="Arial" w:cs="Arial" w:eastAsia="Arial" w:hAnsi="Arial"/>
          <w:sz w:val="24"/>
          <w:szCs w:val="24"/>
        </w:rPr>
        <w:t xml:space="preserve"> - Агентство начального и среднего профессионального образования при Министерстве образования и науки Кыргызской Республики</w:t>
      </w:r>
    </w:p>
    <w:p>
      <w:pPr>
        <w:spacing w:after="60"/>
        <w:ind w:firstLine="567"/>
        <w:jc w:val="both"/>
      </w:pPr>
      <w:r>
        <w:rPr>
          <w:rFonts w:ascii="Arial" w:cs="Arial" w:eastAsia="Arial" w:hAnsi="Arial"/>
          <w:b/>
          <w:bCs/>
          <w:sz w:val="24"/>
          <w:szCs w:val="24"/>
        </w:rPr>
        <w:t xml:space="preserve">НИИЭЭ</w:t>
      </w:r>
      <w:r>
        <w:rPr>
          <w:rFonts w:ascii="Arial" w:cs="Arial" w:eastAsia="Arial" w:hAnsi="Arial"/>
          <w:sz w:val="24"/>
          <w:szCs w:val="24"/>
        </w:rPr>
        <w:t xml:space="preserve"> - Научно-исследовательский институт энергетики и экономики при Государственном комитете промышленности, энергетики и недропользования Кыргызской Республики</w:t>
      </w:r>
    </w:p>
    <w:p>
      <w:pPr>
        <w:spacing w:after="60"/>
        <w:ind w:firstLine="567"/>
        <w:jc w:val="both"/>
      </w:pPr>
      <w:r>
        <w:rPr>
          <w:rFonts w:ascii="Arial" w:cs="Arial" w:eastAsia="Arial" w:hAnsi="Arial"/>
          <w:b/>
          <w:bCs/>
          <w:sz w:val="24"/>
          <w:szCs w:val="24"/>
        </w:rPr>
        <w:t xml:space="preserve">ГАС</w:t>
      </w:r>
      <w:r>
        <w:rPr>
          <w:rFonts w:ascii="Arial" w:cs="Arial" w:eastAsia="Arial" w:hAnsi="Arial"/>
          <w:sz w:val="24"/>
          <w:szCs w:val="24"/>
        </w:rPr>
        <w:t xml:space="preserve"> - Государственное агентство связи при Государственном комитете информационных технологий и связи Кыргызской Республики</w:t>
      </w:r>
    </w:p>
    <w:p>
      <w:pPr>
        <w:spacing w:after="60"/>
        <w:ind w:firstLine="567"/>
        <w:jc w:val="both"/>
      </w:pPr>
      <w:r>
        <w:rPr>
          <w:rFonts w:ascii="Arial" w:cs="Arial" w:eastAsia="Arial" w:hAnsi="Arial"/>
          <w:sz w:val="24"/>
          <w:szCs w:val="24"/>
        </w:rPr>
        <w:t xml:space="preserve">ГП "Центр "единое окно" в сфере внешней торговли"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РПО РМТР</w:t>
      </w:r>
      <w:r>
        <w:rPr>
          <w:rFonts w:ascii="Arial" w:cs="Arial" w:eastAsia="Arial" w:hAnsi="Arial"/>
          <w:sz w:val="24"/>
          <w:szCs w:val="24"/>
        </w:rPr>
        <w:t xml:space="preserve"> - Республиканское производственное объединение радиорелейных магистралей, телевидения и радиовещания</w:t>
      </w:r>
    </w:p>
    <w:p>
      <w:pPr>
        <w:spacing w:after="60"/>
        <w:ind w:firstLine="567"/>
        <w:jc w:val="both"/>
      </w:pPr>
      <w:r>
        <w:rPr>
          <w:rFonts w:ascii="Arial" w:cs="Arial" w:eastAsia="Arial" w:hAnsi="Arial"/>
          <w:b/>
          <w:bCs/>
          <w:sz w:val="24"/>
          <w:szCs w:val="24"/>
        </w:rPr>
        <w:t xml:space="preserve">АЗД</w:t>
      </w:r>
      <w:r>
        <w:rPr>
          <w:rFonts w:ascii="Arial" w:cs="Arial" w:eastAsia="Arial" w:hAnsi="Arial"/>
          <w:sz w:val="24"/>
          <w:szCs w:val="24"/>
        </w:rPr>
        <w:t xml:space="preserve"> - Агентство по защите депозитов Кыргызской Республики</w:t>
      </w:r>
    </w:p>
    <w:p>
      <w:pPr>
        <w:spacing w:after="60"/>
        <w:ind w:firstLine="567"/>
        <w:jc w:val="both"/>
      </w:pPr>
      <w:r>
        <w:rPr>
          <w:rFonts w:ascii="Arial" w:cs="Arial" w:eastAsia="Arial" w:hAnsi="Arial"/>
          <w:b/>
          <w:bCs/>
          <w:sz w:val="24"/>
          <w:szCs w:val="24"/>
        </w:rPr>
        <w:t xml:space="preserve">КФБ</w:t>
      </w:r>
      <w:r>
        <w:rPr>
          <w:rFonts w:ascii="Arial" w:cs="Arial" w:eastAsia="Arial" w:hAnsi="Arial"/>
          <w:sz w:val="24"/>
          <w:szCs w:val="24"/>
        </w:rPr>
        <w:t xml:space="preserve"> - Кыргызская фондовая биржа</w:t>
      </w:r>
    </w:p>
    <w:p>
      <w:pPr>
        <w:spacing w:after="60"/>
        <w:ind w:firstLine="567"/>
        <w:jc w:val="both"/>
      </w:pPr>
      <w:r>
        <w:rPr>
          <w:rFonts w:ascii="Arial" w:cs="Arial" w:eastAsia="Arial" w:hAnsi="Arial"/>
          <w:b/>
          <w:bCs/>
          <w:sz w:val="24"/>
          <w:szCs w:val="24"/>
        </w:rPr>
        <w:t xml:space="preserve">ОАО "НЭХК"</w:t>
      </w:r>
      <w:r>
        <w:rPr>
          <w:rFonts w:ascii="Arial" w:cs="Arial" w:eastAsia="Arial" w:hAnsi="Arial"/>
          <w:sz w:val="24"/>
          <w:szCs w:val="24"/>
        </w:rPr>
        <w:t xml:space="preserve"> - Открытое акционерное общество "Национальная энергетическая холдинговая компания"</w:t>
      </w:r>
    </w:p>
    <w:p>
      <w:pPr>
        <w:spacing w:after="60"/>
        <w:ind w:firstLine="567"/>
        <w:jc w:val="both"/>
      </w:pPr>
      <w:r>
        <w:rPr>
          <w:rFonts w:ascii="Arial" w:cs="Arial" w:eastAsia="Arial" w:hAnsi="Arial"/>
          <w:b/>
          <w:bCs/>
          <w:sz w:val="24"/>
          <w:szCs w:val="24"/>
        </w:rPr>
        <w:t xml:space="preserve">ОАО "НЭСК"</w:t>
      </w:r>
      <w:r>
        <w:rPr>
          <w:rFonts w:ascii="Arial" w:cs="Arial" w:eastAsia="Arial" w:hAnsi="Arial"/>
          <w:sz w:val="24"/>
          <w:szCs w:val="24"/>
        </w:rPr>
        <w:t xml:space="preserve"> - Открытое акционерное общество "Национальная электрическая сеть Кыргызстана"</w:t>
      </w:r>
    </w:p>
    <w:p>
      <w:pPr>
        <w:spacing w:after="60"/>
        <w:ind w:firstLine="567"/>
        <w:jc w:val="both"/>
      </w:pPr>
      <w:r>
        <w:rPr>
          <w:rFonts w:ascii="Arial" w:cs="Arial" w:eastAsia="Arial" w:hAnsi="Arial"/>
          <w:b/>
          <w:bCs/>
          <w:sz w:val="24"/>
          <w:szCs w:val="24"/>
        </w:rPr>
        <w:t xml:space="preserve">ОАО "МАМ"</w:t>
      </w:r>
      <w:r>
        <w:rPr>
          <w:rFonts w:ascii="Arial" w:cs="Arial" w:eastAsia="Arial" w:hAnsi="Arial"/>
          <w:sz w:val="24"/>
          <w:szCs w:val="24"/>
        </w:rPr>
        <w:t xml:space="preserve"> - Открытое акционерное общество "Международный аэропорт Манас"</w:t>
      </w:r>
    </w:p>
    <w:p>
      <w:pPr>
        <w:spacing w:after="60"/>
        <w:ind w:firstLine="567"/>
        <w:jc w:val="both"/>
      </w:pPr>
      <w:r>
        <w:rPr>
          <w:rFonts w:ascii="Arial" w:cs="Arial" w:eastAsia="Arial" w:hAnsi="Arial"/>
          <w:b/>
          <w:bCs/>
          <w:sz w:val="24"/>
          <w:szCs w:val="24"/>
        </w:rPr>
        <w:t xml:space="preserve">НАН</w:t>
      </w:r>
      <w:r>
        <w:rPr>
          <w:rFonts w:ascii="Arial" w:cs="Arial" w:eastAsia="Arial" w:hAnsi="Arial"/>
          <w:sz w:val="24"/>
          <w:szCs w:val="24"/>
        </w:rPr>
        <w:t xml:space="preserve"> - Национальная академия наук Кыргызской Республики</w:t>
      </w:r>
    </w:p>
    <w:p>
      <w:pPr>
        <w:spacing w:after="60"/>
        <w:ind w:firstLine="567"/>
        <w:jc w:val="both"/>
      </w:pPr>
      <w:r>
        <w:rPr>
          <w:rFonts w:ascii="Arial" w:cs="Arial" w:eastAsia="Arial" w:hAnsi="Arial"/>
          <w:b/>
          <w:bCs/>
          <w:sz w:val="24"/>
          <w:szCs w:val="24"/>
        </w:rPr>
        <w:t xml:space="preserve">КНУ</w:t>
      </w:r>
      <w:r>
        <w:rPr>
          <w:rFonts w:ascii="Arial" w:cs="Arial" w:eastAsia="Arial" w:hAnsi="Arial"/>
          <w:sz w:val="24"/>
          <w:szCs w:val="24"/>
        </w:rPr>
        <w:t xml:space="preserve"> - Кыргызский национальный университет имени Жусупа Баласагына</w:t>
      </w:r>
    </w:p>
    <w:p>
      <w:pPr>
        <w:spacing w:after="60"/>
        <w:ind w:firstLine="567"/>
        <w:jc w:val="both"/>
      </w:pP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b/>
          <w:bCs/>
          <w:sz w:val="24"/>
          <w:szCs w:val="24"/>
        </w:rPr>
        <w:t xml:space="preserve">ЕЭК</w:t>
      </w:r>
      <w:r>
        <w:rPr>
          <w:rFonts w:ascii="Arial" w:cs="Arial" w:eastAsia="Arial" w:hAnsi="Arial"/>
          <w:sz w:val="24"/>
          <w:szCs w:val="24"/>
        </w:rPr>
        <w:t xml:space="preserve"> - Евразийская экономическая комиссия</w:t>
      </w:r>
    </w:p>
    <w:p>
      <w:pPr>
        <w:spacing w:after="60"/>
        <w:ind w:firstLine="567"/>
        <w:jc w:val="both"/>
      </w:pPr>
      <w:r>
        <w:rPr>
          <w:rFonts w:ascii="Arial" w:cs="Arial" w:eastAsia="Arial" w:hAnsi="Arial"/>
          <w:b/>
          <w:bCs/>
          <w:sz w:val="24"/>
          <w:szCs w:val="24"/>
        </w:rPr>
        <w:t xml:space="preserve">ТС</w:t>
      </w:r>
      <w:r>
        <w:rPr>
          <w:rFonts w:ascii="Arial" w:cs="Arial" w:eastAsia="Arial" w:hAnsi="Arial"/>
          <w:sz w:val="24"/>
          <w:szCs w:val="24"/>
        </w:rPr>
        <w:t xml:space="preserve"> - Таможенный союз</w:t>
      </w:r>
    </w:p>
    <w:p>
      <w:pPr>
        <w:spacing w:after="60"/>
        <w:ind w:firstLine="567"/>
        <w:jc w:val="both"/>
      </w:pPr>
      <w:r>
        <w:rPr>
          <w:rFonts w:ascii="Arial" w:cs="Arial" w:eastAsia="Arial" w:hAnsi="Arial"/>
          <w:b/>
          <w:bCs/>
          <w:sz w:val="24"/>
          <w:szCs w:val="24"/>
        </w:rPr>
        <w:t xml:space="preserve">МАР</w:t>
      </w:r>
      <w:r>
        <w:rPr>
          <w:rFonts w:ascii="Arial" w:cs="Arial" w:eastAsia="Arial" w:hAnsi="Arial"/>
          <w:sz w:val="24"/>
          <w:szCs w:val="24"/>
        </w:rPr>
        <w:t xml:space="preserve"> - Международная ассоциация развития</w:t>
      </w:r>
    </w:p>
    <w:p>
      <w:pPr>
        <w:spacing w:after="60"/>
        <w:ind w:firstLine="567"/>
        <w:jc w:val="both"/>
      </w:pPr>
      <w:r>
        <w:rPr>
          <w:rFonts w:ascii="Arial" w:cs="Arial" w:eastAsia="Arial" w:hAnsi="Arial"/>
          <w:b/>
          <w:bCs/>
          <w:sz w:val="24"/>
          <w:szCs w:val="24"/>
        </w:rPr>
        <w:t xml:space="preserve">ЕИБ</w:t>
      </w:r>
      <w:r>
        <w:rPr>
          <w:rFonts w:ascii="Arial" w:cs="Arial" w:eastAsia="Arial" w:hAnsi="Arial"/>
          <w:sz w:val="24"/>
          <w:szCs w:val="24"/>
        </w:rPr>
        <w:t xml:space="preserve"> - Европейский инвестиционный банк</w:t>
      </w:r>
    </w:p>
    <w:p>
      <w:pPr>
        <w:spacing w:after="60"/>
        <w:ind w:firstLine="567"/>
        <w:jc w:val="both"/>
      </w:pPr>
      <w:r>
        <w:rPr>
          <w:rFonts w:ascii="Arial" w:cs="Arial" w:eastAsia="Arial" w:hAnsi="Arial"/>
          <w:b/>
          <w:bCs/>
          <w:sz w:val="24"/>
          <w:szCs w:val="24"/>
        </w:rPr>
        <w:t xml:space="preserve">ВБ</w:t>
      </w:r>
      <w:r>
        <w:rPr>
          <w:rFonts w:ascii="Arial" w:cs="Arial" w:eastAsia="Arial" w:hAnsi="Arial"/>
          <w:sz w:val="24"/>
          <w:szCs w:val="24"/>
        </w:rPr>
        <w:t xml:space="preserve"> - Всемирный банк</w:t>
      </w:r>
    </w:p>
    <w:p>
      <w:pPr>
        <w:spacing w:after="60"/>
        <w:ind w:firstLine="567"/>
        <w:jc w:val="both"/>
      </w:pPr>
      <w:r>
        <w:rPr>
          <w:rFonts w:ascii="Arial" w:cs="Arial" w:eastAsia="Arial" w:hAnsi="Arial"/>
          <w:b/>
          <w:bCs/>
          <w:sz w:val="24"/>
          <w:szCs w:val="24"/>
        </w:rPr>
        <w:t xml:space="preserve">ИБР</w:t>
      </w:r>
      <w:r>
        <w:rPr>
          <w:rFonts w:ascii="Arial" w:cs="Arial" w:eastAsia="Arial" w:hAnsi="Arial"/>
          <w:sz w:val="24"/>
          <w:szCs w:val="24"/>
        </w:rPr>
        <w:t xml:space="preserve"> - Исламский банк развития</w:t>
      </w:r>
    </w:p>
    <w:p>
      <w:pPr>
        <w:spacing w:after="60"/>
        <w:ind w:firstLine="567"/>
        <w:jc w:val="both"/>
      </w:pPr>
      <w:r>
        <w:rPr>
          <w:rFonts w:ascii="Arial" w:cs="Arial" w:eastAsia="Arial" w:hAnsi="Arial"/>
          <w:b/>
          <w:bCs/>
          <w:sz w:val="24"/>
          <w:szCs w:val="24"/>
        </w:rPr>
        <w:t xml:space="preserve">АБР</w:t>
      </w:r>
      <w:r>
        <w:rPr>
          <w:rFonts w:ascii="Arial" w:cs="Arial" w:eastAsia="Arial" w:hAnsi="Arial"/>
          <w:sz w:val="24"/>
          <w:szCs w:val="24"/>
        </w:rPr>
        <w:t xml:space="preserve"> - Азиатский банк развития</w:t>
      </w:r>
    </w:p>
    <w:p>
      <w:pPr>
        <w:spacing w:after="60"/>
        <w:ind w:firstLine="567"/>
        <w:jc w:val="both"/>
      </w:pPr>
      <w:r>
        <w:rPr>
          <w:rFonts w:ascii="Arial" w:cs="Arial" w:eastAsia="Arial" w:hAnsi="Arial"/>
          <w:b/>
          <w:bCs/>
          <w:sz w:val="24"/>
          <w:szCs w:val="24"/>
        </w:rPr>
        <w:t xml:space="preserve">ЕАБР</w:t>
      </w:r>
      <w:r>
        <w:rPr>
          <w:rFonts w:ascii="Arial" w:cs="Arial" w:eastAsia="Arial" w:hAnsi="Arial"/>
          <w:sz w:val="24"/>
          <w:szCs w:val="24"/>
        </w:rPr>
        <w:t xml:space="preserve"> - Евразийский банк развития</w:t>
      </w:r>
    </w:p>
    <w:p>
      <w:pPr>
        <w:spacing w:after="60"/>
        <w:ind w:firstLine="567"/>
        <w:jc w:val="both"/>
      </w:pPr>
      <w:r>
        <w:rPr>
          <w:rFonts w:ascii="Arial" w:cs="Arial" w:eastAsia="Arial" w:hAnsi="Arial"/>
          <w:b/>
          <w:bCs/>
          <w:sz w:val="24"/>
          <w:szCs w:val="24"/>
        </w:rPr>
        <w:t xml:space="preserve">РКФР</w:t>
      </w:r>
      <w:r>
        <w:rPr>
          <w:rFonts w:ascii="Arial" w:cs="Arial" w:eastAsia="Arial" w:hAnsi="Arial"/>
          <w:sz w:val="24"/>
          <w:szCs w:val="24"/>
        </w:rPr>
        <w:t xml:space="preserve"> - Российско-Кыргызский фонд развития</w:t>
      </w:r>
    </w:p>
    <w:p>
      <w:pPr>
        <w:spacing w:after="60"/>
        <w:ind w:firstLine="567"/>
        <w:jc w:val="both"/>
      </w:pPr>
      <w:r>
        <w:rPr>
          <w:rFonts w:ascii="Arial" w:cs="Arial" w:eastAsia="Arial" w:hAnsi="Arial"/>
          <w:b/>
          <w:bCs/>
          <w:sz w:val="24"/>
          <w:szCs w:val="24"/>
        </w:rPr>
        <w:t xml:space="preserve">МО</w:t>
      </w:r>
      <w:r>
        <w:rPr>
          <w:rFonts w:ascii="Arial" w:cs="Arial" w:eastAsia="Arial" w:hAnsi="Arial"/>
          <w:sz w:val="24"/>
          <w:szCs w:val="24"/>
        </w:rPr>
        <w:t xml:space="preserve"> - международные организации</w:t>
      </w:r>
    </w:p>
    <w:p>
      <w:pPr>
        <w:spacing w:after="60"/>
        <w:ind w:firstLine="567"/>
        <w:jc w:val="both"/>
      </w:pPr>
      <w:r>
        <w:rPr>
          <w:rFonts w:ascii="Arial" w:cs="Arial" w:eastAsia="Arial" w:hAnsi="Arial"/>
          <w:b/>
          <w:bCs/>
          <w:sz w:val="24"/>
          <w:szCs w:val="24"/>
        </w:rPr>
        <w:t xml:space="preserve">НКО</w:t>
      </w:r>
      <w:r>
        <w:rPr>
          <w:rFonts w:ascii="Arial" w:cs="Arial" w:eastAsia="Arial" w:hAnsi="Arial"/>
          <w:sz w:val="24"/>
          <w:szCs w:val="24"/>
        </w:rPr>
        <w:t xml:space="preserve"> - некоммерческие организации</w:t>
      </w:r>
    </w:p>
    <w:p>
      <w:pPr>
        <w:spacing w:after="60"/>
        <w:ind w:firstLine="567"/>
        <w:jc w:val="both"/>
      </w:pPr>
      <w:r>
        <w:rPr>
          <w:rFonts w:ascii="Arial" w:cs="Arial" w:eastAsia="Arial" w:hAnsi="Arial"/>
          <w:b/>
          <w:bCs/>
          <w:sz w:val="24"/>
          <w:szCs w:val="24"/>
        </w:rPr>
        <w:t xml:space="preserve">ФКУ</w:t>
      </w:r>
      <w:r>
        <w:rPr>
          <w:rFonts w:ascii="Arial" w:cs="Arial" w:eastAsia="Arial" w:hAnsi="Arial"/>
          <w:sz w:val="24"/>
          <w:szCs w:val="24"/>
        </w:rPr>
        <w:t xml:space="preserve"> - финансово-кредитные учреждения</w:t>
      </w:r>
    </w:p>
    <w:p>
      <w:pPr>
        <w:spacing w:after="60"/>
        <w:ind w:firstLine="567"/>
        <w:jc w:val="both"/>
      </w:pPr>
      <w:r>
        <w:rPr>
          <w:rFonts w:ascii="Arial" w:cs="Arial" w:eastAsia="Arial" w:hAnsi="Arial"/>
          <w:b/>
          <w:bCs/>
          <w:sz w:val="24"/>
          <w:szCs w:val="24"/>
        </w:rPr>
        <w:t xml:space="preserve">НПО</w:t>
      </w:r>
      <w:r>
        <w:rPr>
          <w:rFonts w:ascii="Arial" w:cs="Arial" w:eastAsia="Arial" w:hAnsi="Arial"/>
          <w:sz w:val="24"/>
          <w:szCs w:val="24"/>
        </w:rPr>
        <w:t xml:space="preserve"> - неправительственные организации</w:t>
      </w:r>
    </w:p>
    <w:p>
      <w:pPr>
        <w:spacing w:after="60"/>
        <w:ind w:firstLine="567"/>
        <w:jc w:val="both"/>
      </w:pPr>
      <w:r>
        <w:rPr>
          <w:rFonts w:ascii="Arial" w:cs="Arial" w:eastAsia="Arial" w:hAnsi="Arial"/>
          <w:b/>
          <w:bCs/>
          <w:sz w:val="24"/>
          <w:szCs w:val="24"/>
        </w:rPr>
        <w:t xml:space="preserve">МГА</w:t>
      </w:r>
      <w:r>
        <w:rPr>
          <w:rFonts w:ascii="Arial" w:cs="Arial" w:eastAsia="Arial" w:hAnsi="Arial"/>
          <w:sz w:val="24"/>
          <w:szCs w:val="24"/>
        </w:rPr>
        <w:t xml:space="preserve"> - местная государственная администрация</w:t>
      </w:r>
    </w:p>
    <w:p>
      <w:pPr>
        <w:spacing w:after="60"/>
        <w:ind w:firstLine="567"/>
        <w:jc w:val="both"/>
      </w:pPr>
      <w:r>
        <w:rPr>
          <w:rFonts w:ascii="Arial" w:cs="Arial" w:eastAsia="Arial" w:hAnsi="Arial"/>
          <w:b/>
          <w:bCs/>
          <w:sz w:val="24"/>
          <w:szCs w:val="24"/>
        </w:rPr>
        <w:t xml:space="preserve">ОМСУ</w:t>
      </w:r>
      <w:r>
        <w:rPr>
          <w:rFonts w:ascii="Arial" w:cs="Arial" w:eastAsia="Arial" w:hAnsi="Arial"/>
          <w:sz w:val="24"/>
          <w:szCs w:val="24"/>
        </w:rPr>
        <w:t xml:space="preserve"> - органы местного самоуправления</w:t>
      </w:r>
    </w:p>
    <w:p>
      <w:pPr>
        <w:spacing w:after="60"/>
        <w:ind w:firstLine="567"/>
        <w:jc w:val="both"/>
      </w:pPr>
      <w:r>
        <w:rPr>
          <w:rFonts w:ascii="Arial" w:cs="Arial" w:eastAsia="Arial" w:hAnsi="Arial"/>
          <w:b/>
          <w:bCs/>
          <w:sz w:val="24"/>
          <w:szCs w:val="24"/>
        </w:rPr>
        <w:t xml:space="preserve">ГЧП</w:t>
      </w:r>
      <w:r>
        <w:rPr>
          <w:rFonts w:ascii="Arial" w:cs="Arial" w:eastAsia="Arial" w:hAnsi="Arial"/>
          <w:sz w:val="24"/>
          <w:szCs w:val="24"/>
        </w:rPr>
        <w:t xml:space="preserve"> - государственно-частное партнерство</w:t>
      </w:r>
    </w:p>
    <w:p>
      <w:pPr>
        <w:spacing w:after="60"/>
        <w:ind w:firstLine="567"/>
        <w:jc w:val="both"/>
      </w:pPr>
      <w:r>
        <w:rPr>
          <w:rFonts w:ascii="Arial" w:cs="Arial" w:eastAsia="Arial" w:hAnsi="Arial"/>
          <w:b/>
          <w:bCs/>
          <w:sz w:val="24"/>
          <w:szCs w:val="24"/>
        </w:rPr>
        <w:t xml:space="preserve">НПА</w:t>
      </w:r>
      <w:r>
        <w:rPr>
          <w:rFonts w:ascii="Arial" w:cs="Arial" w:eastAsia="Arial" w:hAnsi="Arial"/>
          <w:sz w:val="24"/>
          <w:szCs w:val="24"/>
        </w:rPr>
        <w:t xml:space="preserve"> - нормативный правовой акт</w:t>
      </w:r>
    </w:p>
    <w:p>
      <w:pPr>
        <w:spacing w:after="60"/>
        <w:ind w:firstLine="567"/>
        <w:jc w:val="both"/>
      </w:pPr>
      <w:r>
        <w:rPr>
          <w:rFonts w:ascii="Arial" w:cs="Arial" w:eastAsia="Arial" w:hAnsi="Arial"/>
          <w:b/>
          <w:bCs/>
          <w:sz w:val="24"/>
          <w:szCs w:val="24"/>
        </w:rPr>
        <w:t xml:space="preserve">ЦУР</w:t>
      </w:r>
      <w:r>
        <w:rPr>
          <w:rFonts w:ascii="Arial" w:cs="Arial" w:eastAsia="Arial" w:hAnsi="Arial"/>
          <w:sz w:val="24"/>
          <w:szCs w:val="24"/>
        </w:rPr>
        <w:t xml:space="preserve"> - цели устойчивого развития</w:t>
      </w:r>
    </w:p>
    <w:p>
      <w:pPr>
        <w:spacing w:after="60"/>
        <w:ind w:firstLine="567"/>
        <w:jc w:val="both"/>
      </w:pPr>
      <w:r>
        <w:rPr>
          <w:rFonts w:ascii="Arial" w:cs="Arial" w:eastAsia="Arial" w:hAnsi="Arial"/>
          <w:b/>
          <w:bCs/>
          <w:sz w:val="24"/>
          <w:szCs w:val="24"/>
        </w:rPr>
        <w:t xml:space="preserve">АРВ</w:t>
      </w:r>
      <w:r>
        <w:rPr>
          <w:rFonts w:ascii="Arial" w:cs="Arial" w:eastAsia="Arial" w:hAnsi="Arial"/>
          <w:sz w:val="24"/>
          <w:szCs w:val="24"/>
        </w:rPr>
        <w:t xml:space="preserve"> - анализ регулятивного воздействия</w:t>
      </w:r>
    </w:p>
    <w:p>
      <w:pPr>
        <w:spacing w:after="60"/>
        <w:ind w:firstLine="567"/>
        <w:jc w:val="both"/>
      </w:pPr>
      <w:r>
        <w:rPr>
          <w:rFonts w:ascii="Arial" w:cs="Arial" w:eastAsia="Arial" w:hAnsi="Arial"/>
          <w:b/>
          <w:bCs/>
          <w:sz w:val="24"/>
          <w:szCs w:val="24"/>
        </w:rPr>
        <w:t xml:space="preserve">АИС</w:t>
      </w:r>
      <w:r>
        <w:rPr>
          <w:rFonts w:ascii="Arial" w:cs="Arial" w:eastAsia="Arial" w:hAnsi="Arial"/>
          <w:sz w:val="24"/>
          <w:szCs w:val="24"/>
        </w:rPr>
        <w:t xml:space="preserve"> - автоматизированная информационная система</w:t>
      </w:r>
    </w:p>
    <w:p>
      <w:pPr>
        <w:spacing w:after="60"/>
        <w:ind w:firstLine="567"/>
        <w:jc w:val="both"/>
      </w:pPr>
      <w:r>
        <w:rPr>
          <w:rFonts w:ascii="Arial" w:cs="Arial" w:eastAsia="Arial" w:hAnsi="Arial"/>
          <w:b/>
          <w:bCs/>
          <w:sz w:val="24"/>
          <w:szCs w:val="24"/>
        </w:rPr>
        <w:t xml:space="preserve">АТР</w:t>
      </w:r>
      <w:r>
        <w:rPr>
          <w:rFonts w:ascii="Arial" w:cs="Arial" w:eastAsia="Arial" w:hAnsi="Arial"/>
          <w:sz w:val="24"/>
          <w:szCs w:val="24"/>
        </w:rPr>
        <w:t xml:space="preserve"> - административно-территориальное устройство</w:t>
      </w:r>
    </w:p>
    <w:p>
      <w:pPr>
        <w:spacing w:after="60"/>
        <w:ind w:firstLine="567"/>
        <w:jc w:val="both"/>
      </w:pPr>
      <w:r>
        <w:rPr>
          <w:rFonts w:ascii="Arial" w:cs="Arial" w:eastAsia="Arial" w:hAnsi="Arial"/>
          <w:b/>
          <w:bCs/>
          <w:sz w:val="24"/>
          <w:szCs w:val="24"/>
        </w:rPr>
        <w:t xml:space="preserve">ОЮЛ</w:t>
      </w:r>
      <w:r>
        <w:rPr>
          <w:rFonts w:ascii="Arial" w:cs="Arial" w:eastAsia="Arial" w:hAnsi="Arial"/>
          <w:sz w:val="24"/>
          <w:szCs w:val="24"/>
        </w:rPr>
        <w:t xml:space="preserve"> - объединение юридических лиц</w:t>
      </w:r>
    </w:p>
    <w:p>
      <w:pPr>
        <w:spacing w:after="60"/>
        <w:ind w:firstLine="567"/>
        <w:jc w:val="both"/>
      </w:pPr>
      <w:r>
        <w:rPr>
          <w:rFonts w:ascii="Arial" w:cs="Arial" w:eastAsia="Arial" w:hAnsi="Arial"/>
          <w:b/>
          <w:bCs/>
          <w:sz w:val="24"/>
          <w:szCs w:val="24"/>
        </w:rPr>
        <w:t xml:space="preserve">ТЭО</w:t>
      </w:r>
      <w:r>
        <w:rPr>
          <w:rFonts w:ascii="Arial" w:cs="Arial" w:eastAsia="Arial" w:hAnsi="Arial"/>
          <w:sz w:val="24"/>
          <w:szCs w:val="24"/>
        </w:rPr>
        <w:t xml:space="preserve"> - технико-экономическое обоснование</w:t>
      </w:r>
    </w:p>
    <w:p>
      <w:pPr>
        <w:spacing w:after="60"/>
        <w:ind w:firstLine="567"/>
        <w:jc w:val="both"/>
      </w:pPr>
      <w:r>
        <w:rPr>
          <w:rFonts w:ascii="Arial" w:cs="Arial" w:eastAsia="Arial" w:hAnsi="Arial"/>
          <w:b/>
          <w:bCs/>
          <w:sz w:val="24"/>
          <w:szCs w:val="24"/>
        </w:rPr>
        <w:t xml:space="preserve">ПГГ</w:t>
      </w:r>
      <w:r>
        <w:rPr>
          <w:rFonts w:ascii="Arial" w:cs="Arial" w:eastAsia="Arial" w:hAnsi="Arial"/>
          <w:sz w:val="24"/>
          <w:szCs w:val="24"/>
        </w:rPr>
        <w:t xml:space="preserve"> - Программа государственных гарантий</w:t>
      </w:r>
    </w:p>
    <w:p>
      <w:pPr>
        <w:spacing w:after="60"/>
        <w:ind w:firstLine="567"/>
        <w:jc w:val="both"/>
      </w:pPr>
      <w:r>
        <w:rPr>
          <w:rFonts w:ascii="Arial" w:cs="Arial" w:eastAsia="Arial" w:hAnsi="Arial"/>
          <w:b/>
          <w:bCs/>
          <w:sz w:val="24"/>
          <w:szCs w:val="24"/>
        </w:rPr>
        <w:t xml:space="preserve">ДПОМС</w:t>
      </w:r>
      <w:r>
        <w:rPr>
          <w:rFonts w:ascii="Arial" w:cs="Arial" w:eastAsia="Arial" w:hAnsi="Arial"/>
          <w:sz w:val="24"/>
          <w:szCs w:val="24"/>
        </w:rPr>
        <w:t xml:space="preserve"> - Дополнительная программа обязательного медицинского страхования</w:t>
      </w:r>
    </w:p>
    <w:p>
      <w:pPr>
        <w:spacing w:after="60"/>
        <w:ind w:firstLine="567"/>
        <w:jc w:val="both"/>
      </w:pPr>
      <w:r>
        <w:rPr>
          <w:rFonts w:ascii="Arial" w:cs="Arial" w:eastAsia="Arial" w:hAnsi="Arial"/>
          <w:b/>
          <w:bCs/>
          <w:sz w:val="24"/>
          <w:szCs w:val="24"/>
        </w:rPr>
        <w:t xml:space="preserve">АСКУЭ</w:t>
      </w:r>
      <w:r>
        <w:rPr>
          <w:rFonts w:ascii="Arial" w:cs="Arial" w:eastAsia="Arial" w:hAnsi="Arial"/>
          <w:sz w:val="24"/>
          <w:szCs w:val="24"/>
        </w:rPr>
        <w:t xml:space="preserve"> - автоматизированная система коммерческого учёта электроэнергии</w:t>
      </w:r>
    </w:p>
    <w:p>
      <w:pPr>
        <w:spacing w:after="60"/>
        <w:ind w:firstLine="567"/>
        <w:jc w:val="both"/>
      </w:pPr>
      <w:r>
        <w:rPr>
          <w:rFonts w:ascii="Arial" w:cs="Arial" w:eastAsia="Arial" w:hAnsi="Arial"/>
          <w:b/>
          <w:bCs/>
          <w:sz w:val="24"/>
          <w:szCs w:val="24"/>
        </w:rPr>
        <w:t xml:space="preserve">ВЭД</w:t>
      </w:r>
      <w:r>
        <w:rPr>
          <w:rFonts w:ascii="Arial" w:cs="Arial" w:eastAsia="Arial" w:hAnsi="Arial"/>
          <w:sz w:val="24"/>
          <w:szCs w:val="24"/>
        </w:rPr>
        <w:t xml:space="preserve"> - внешнеэкономическая деятельность</w:t>
      </w:r>
    </w:p>
    <w:p>
      <w:pPr>
        <w:spacing w:after="60"/>
        <w:ind w:firstLine="567"/>
        <w:jc w:val="both"/>
      </w:pPr>
      <w:r>
        <w:rPr>
          <w:rFonts w:ascii="Arial" w:cs="Arial" w:eastAsia="Arial" w:hAnsi="Arial"/>
          <w:b/>
          <w:bCs/>
          <w:sz w:val="24"/>
          <w:szCs w:val="24"/>
        </w:rPr>
        <w:t xml:space="preserve">ТБО</w:t>
      </w:r>
      <w:r>
        <w:rPr>
          <w:rFonts w:ascii="Arial" w:cs="Arial" w:eastAsia="Arial" w:hAnsi="Arial"/>
          <w:sz w:val="24"/>
          <w:szCs w:val="24"/>
        </w:rPr>
        <w:t xml:space="preserve"> - твердые бытовые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sfi7colozrvn0g9xiym">
      <w:r>
        <w:rPr>
          <w:rFonts w:ascii="Arial" w:cs="Arial" w:eastAsia="Arial" w:hAnsi="Arial"/>
          <w:color w:val="132D3F"/>
          <w:sz w:val="16"/>
          <w:szCs w:val="16"/>
          <w:u w:val="single"/>
        </w:rPr>
        <w:t xml:space="preserve">dalil.kg/document/98758</w:t>
      </w:r>
    </w:hyperlink>
  </w:p>
  <w:p>
    <w:pPr>
      <w:spacing w:after="0" w:before="40"/>
      <w:jc w:val="center"/>
    </w:pPr>
    <w:hyperlink w:history="1" r:id="rIdncrhbentfkavhbksvcw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jx_u_6hnrg1zibpm80q" Type="http://schemas.openxmlformats.org/officeDocument/2006/relationships/hyperlink" Target="https://dalil.kg/document/98993" TargetMode="External"/><Relationship Id="rIdu7xmn8iqlnns795mqnnkq" Type="http://schemas.openxmlformats.org/officeDocument/2006/relationships/hyperlink" Target="https://dalil.kg/document/77915" TargetMode="External"/><Relationship Id="rIdxsb2lvdfz__e5gdp---yp" Type="http://schemas.openxmlformats.org/officeDocument/2006/relationships/hyperlink" Target="https://dalil.kg/document/203685" TargetMode="External"/><Relationship Id="rIdhx3salefm8uu1evlpfssh" Type="http://schemas.openxmlformats.org/officeDocument/2006/relationships/hyperlink" Target="https://dalil.kg/document/98758#p1" TargetMode="External"/><Relationship Id="rIdh2juptbchnx5wrbcytzom" Type="http://schemas.openxmlformats.org/officeDocument/2006/relationships/hyperlink" Target="https://dalil.kg/document/98600" TargetMode="External"/><Relationship Id="rIdv0iqeammfhwedfxuwxnc5" Type="http://schemas.openxmlformats.org/officeDocument/2006/relationships/hyperlink" Target="https://dalil.kg/document/98600" TargetMode="External"/><Relationship Id="rId9yhttlw3r0r6trmfdi3ed" Type="http://schemas.openxmlformats.org/officeDocument/2006/relationships/hyperlink" Target="https://dalil.kg/document/98592" TargetMode="External"/><Relationship Id="rId0nrxcv3qiunylhzetfpos" Type="http://schemas.openxmlformats.org/officeDocument/2006/relationships/hyperlink" Target="https://dalil.kg/document/9859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sfi7colozrvn0g9xiym" Type="http://schemas.openxmlformats.org/officeDocument/2006/relationships/hyperlink" Target="https://dalil.kg/document/98758" TargetMode="External"/><Relationship Id="rIdncrhbentfkavhbksvcw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2026-09-25T03:13:22.581Z</dcterms:created>
  <dcterms:modified xsi:type="dcterms:W3CDTF">2026-09-25T03:13:22.581Z</dcterms:modified>
</cp:coreProperties>
</file>

<file path=docProps/custom.xml><?xml version="1.0" encoding="utf-8"?>
<Properties xmlns="http://schemas.openxmlformats.org/officeDocument/2006/custom-properties" xmlns:vt="http://schemas.openxmlformats.org/officeDocument/2006/docPropsVTypes"/>
</file>