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2017 года № 298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в сфере возобновляемых источников энергии"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dmiu2unpgkcqju6fpbu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ytatnr1b67sedmkcum_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в сфере возобновляемых источников энергии", инициированный депутатом Жогорку Кенеша Кыргызской Республики Э.Байпакбаевым.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в сфере возобновляемых источников энергии"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rzrjycvtcshy2gklvzc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изменений в некоторые законодательные акты Кыргызской Республики в сфере возобновляемых источников энергии", инициированный депутатом Жогорку Кенеша Кыргызской Республики Э.Ж.Байпакбаевым (далее - проект Закона),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Пунктом 1 статьи 1 проекта Закона предлагается часть 1 </w:t>
      </w:r>
      <w:r>
        <w:rPr>
          <w:rFonts w:ascii="Arial" w:cs="Arial" w:eastAsia="Arial" w:hAnsi="Arial"/>
          <w:sz w:val="24"/>
          <w:szCs w:val="24"/>
        </w:rPr>
        <w:t xml:space="preserve">статьи 212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дополнить пунктом 12, предусматривающим возможность освобождения от налогообложения прибыли производителей электрической и тепловой энергии, газа и возобновляемого топлива в газообразном состоянии, жидкого биологического топлива, полученных в результате использования возобновляемых источников энергии (далее - ВИЭ) в течение пяти лет с момента получения прибыли.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2 этой же статьи проекта Закона предлагается освободить от налога на добавленную стоимость основные средства, импортируемые на территорию Кыргызской Республики, классифицируемые в товарных позициях ТНВЭД 8501-8504, 8541.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стратегией</w:t>
      </w:r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года, утвержденной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определено, что отдельным направлением политики в области повышения доходного потенциала налоговой системы станут оптимизация существующей системы налоговых преференций, запрет на необоснованные льготы и освобождения, а также ликвидация имеющихся возможностей для уклонения от налогообложения.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12 Меморандума по экономической и финансовой политике на 2015-2018 годы, подписанного 24 марта 2015 года между Правительством Кыргызской Республики и Международным валютным фондом предусмотрено, что Кыргызская Республика в целях реализации структурных реформ для улучшения делового климата и развития конкурентоспособного частного сектора, способного поддержать устойчивый рост, берет на себя обязательство по осуществлению определенных мер в сфере налоговой политики, в том числе по отмене остающихся налоговых освобождений и воздержанию от введения льготных режимов налогообложения для отдельных секторов и видов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</w:t>
      </w:r>
      <w:r>
        <w:rPr>
          <w:rFonts w:ascii="Arial" w:cs="Arial" w:eastAsia="Arial" w:hAnsi="Arial"/>
          <w:sz w:val="24"/>
          <w:szCs w:val="24"/>
        </w:rPr>
        <w:t xml:space="preserve">Концепцией</w:t>
      </w:r>
      <w:r>
        <w:rPr>
          <w:rFonts w:ascii="Arial" w:cs="Arial" w:eastAsia="Arial" w:hAnsi="Arial"/>
          <w:sz w:val="24"/>
          <w:szCs w:val="24"/>
        </w:rPr>
        <w:t xml:space="preserve"> фискальной политики Кыргызской Республики на 2015-2020 годы,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2015 года № 455, предусматриваются аналогичные меры по максимальному сокращению налоговых льгот и освобождению на основе оценки эффективности действующих налоговых льгот.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основные средства, классифицируемые в товарных позициях ТНВЭД 8501-8504, представляют весьма широкий ассортимент товаров, подпадающих под понятие запасных частей и комплектующих, и в случае предоставления освобождения от уплаты НДС на которые может возникнуть риск неисполнения доходной части республиканского бюджета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изложенного, с целью снижения рисков предлагаемых поправок, считаем необходимым вначале определить соответствующие альтернативные источники по компенсации прямых потерь бюджета. В противном случае уменьшение доходной части бюджета в условиях крайней ограниченности бюджетных средств может привести к отрицательным последствиям.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Пунктом 1 статьи 2 проекта Закона предлагается распространить действие статей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энергии", которыми предусмотрены преференции, на реконструируемые объекты ВИЭ с заменой более пятидесяти процентов балансовой стоимости существующих сооружений и основного генерирующего оборудования, после согласования и подтверждения уполномоченным органом технико-экономического обоснования проекта реконструкции.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 для субъектов ВИЭ уже предусмотрены значительные преференции, в том числе при установлении тарифов на покупку у них электрической 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считаем, что преференции должны распространяться только на вновь вводимые объекты выработки электрической энергии с использованием ВИЭ, так как они будут являться новыми инвестиционными проектами. При этом распространение преференций на уже действующие объекты выработки электрической энергии с использованием ВИЭ будет необоснованным, поскольку все затраты на их содержание уже покрыты за счет установленных тарифов.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включение данной нормы может значительно осложнить регулирование действующих объектов ВИЭ и создать предпосылки для возможных злоупотреблений, поскольку остаются нерешенными вопросы о том, кто, как и на основании чего будет определять пятидесятипроцентный порог балансовой стоимости, какая это должна быть балансовая стоимость (остаточная или с учетом переоценки) и т.д. По истечении срока окупаемости, в соответствии с предлагаемым проектом, может возникнуть ситуация, когда на объекте ВИЭ будет проведена реконструкция и возникнет необходимость повторного установления тарифов на электрическую энергию с учетом повышающих коэффициентов.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Считаем, что реконструкция с заменой более пятидесятипроцентной балансовой стоимости существующих сооружений и основного генерирующего оборудования в данной статье носит адресный индивидуальный характер и имеет цель получение большей прибыли и извлечение денежных средств из энергосистемы Кыргызской Республики в частные компании, без учета интересов населения и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считаем целесообразным из пункта 1 статьи 2 проекта Закона исключить слова ", а также реконструируемые с заменой более пятидесяти процентов балансовой стоимости существующих сооружений и основного генерирующего оборудования, после согласования и подтверждения уполномоченным органом технико-экономического обоснования проекта реконструкции".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2 статьи 2 проекта Закона предлагается закрепить в </w:t>
      </w:r>
      <w:r>
        <w:rPr>
          <w:rFonts w:ascii="Arial" w:cs="Arial" w:eastAsia="Arial" w:hAnsi="Arial"/>
          <w:sz w:val="24"/>
          <w:szCs w:val="24"/>
        </w:rPr>
        <w:t xml:space="preserve">Законе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 понятие "льготный период", под которым следует понимать установленный законом предельный срок применения специального тарифа для установок по использованию ВИЭ, с применением повышающих коэффициентов.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проектом Закона предлагается внести соответствующие поправки, вытекающие из предлагаемых слов, в статьи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возобновляемых источниках энергии". Такие поправки предусмотрены абзацем пятнадцатым пункта 3, абзацами одиннадцатым-тринадцатым, двадцатым пункта 5 статьи 2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Замена слов "предельный срок окупаемости" словами "льготный период" предполагает изменение системы предоставления государственных преференций для объектов с использованием энергии ВИЭ и необоснованно освободит производителей такой энергии от ответственности за завышение затратных стоимостей и позволит увеличить заранее получаемую ими сверхприбыль.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двадцатый пункта 5 статьи 2 проекта Закона, предусматривающий установление максимального тарифа на электроэнергию, вырабатываемую с использованием ВИЭ для конечных потребителей, после истечения льготного периода, предлагаем исключить в связи с тем, что по тарифам, установленным для конечных потребителей, субъекты ВИЭ могут продавать электрическую энергию конечным потребителям только по заключенным с ними договорам.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предлагаем абзац шестнадцатый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 действующего Закона Кыргызской Республики "О возобновляемых источниках энергии" оставить в прежней редакции.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создания предпосылок для возможных злоупотреблений и получения субъектами ВИЭ ничем необоснованной сверхприбыли за счет другого хозяйствующего субъекта, при поставке электрической энергии в распределительные энергокомпании по истечении периода окупаемости проекта тарифы на электроэнергию, вырабатываемую с использованием ВИЭ, устанавливаются Правительством Кыргызской Республики (уполномоченным государственным органом по регулированию ТЭК) для каждой станции индивидуально на основании расчетов, учитывающих обоснованные затраты на выработку электрической энергии и элемент справедливой прибыли. Вновь установленные тарифы на производимую электроэнергию с использованием ВИЭ ежегодно подлежат индексации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 считаем нецелесообразным внесение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энергии", предполагающих замену системы предоставления государственных преференций объектам с использованием ВИЭ, путем изменения слов "предельный срок окупаемости" словами "льготный период".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2 статьи 2 проекта Закона предлагается ввести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 понятие "инвестор", которое уже введено в </w:t>
      </w:r>
      <w:r>
        <w:rPr>
          <w:rFonts w:ascii="Arial" w:cs="Arial" w:eastAsia="Arial" w:hAnsi="Arial"/>
          <w:sz w:val="24"/>
          <w:szCs w:val="24"/>
        </w:rPr>
        <w:t xml:space="preserve">Законе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 и не требует дополнительной расшифровки. Дополнительное закрепление в другом законодательном акте аналогичного понятия приведет к дублированию норм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изложенным предлагаем абзац второй пункта 2 статьи 2 проекта Закона устанавливающий понятие "инвестор"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4 статьи 2 проекта Закона предлагается </w:t>
      </w:r>
      <w:r>
        <w:rPr>
          <w:rFonts w:ascii="Arial" w:cs="Arial" w:eastAsia="Arial" w:hAnsi="Arial"/>
          <w:sz w:val="24"/>
          <w:szCs w:val="24"/>
        </w:rPr>
        <w:t xml:space="preserve">главу 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возобновляемых источниках энергии" дополнить статьей 8-1, предусматривающей установление компетенции уполномоченного органа по развитию и поддержке использования ВИЭ.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Правительство, исходя из полномочий, указанных в данном конституционном Законе, распределяет функции по их реализации между министерствами, государственными комитетами, административными ведомствами и местными государственными администрациями, путем утверждения положений о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закрепление на законодательном уровне каких-либо норм, касающихся деятельности, полномочий и функций органов исполнительной власти, подчиненных Правительству Кыргызской Республики, противоречит вышеназванным статьям </w:t>
      </w:r>
      <w:hyperlink w:history="1" r:id="rIdyzcvomf6-pdp8xm-uap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уполномоченный орган по выработке политики, направленной на развитие и поддержку ВИЭ, определен в лице Государственного комитета промышленности, энергетики и недропользования Кыргызской Республики, который реализует государственную политику в области поддержки использования ВИЭ, осуществляет международное сотрудничество в области использования ВИЭ, проводит мониторинг и контроль над подключением объектов по использованию ВИЭ к электрическим и (или) тепловым сетям энергопередающих организаций в соответствии с законодательством в области электроэнергетики, а также разрабатывает программы развития и использования ВИЭ.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считаем дополнение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 статьей 8-1 нецелесообразным и несоответствующим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пятый-седьмой пункта 5 статьи 2 проекта Закона предусматривают предоставление преференций производителям электрической и тепловой энергии в виде освобождения от таможенных пошлин и налогов в отношении соответствующего технологического оборудования, импорта на территорию Кыргызской Республики и налога на прибыль в течение пяти лет с момента получения прибыли.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предлагаемые поправки противоречат части 6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запрещающей включать в законодательство, не являющееся налоговым законодательством Кыргызской Республики, нормы, регулирующие налоговые правоотношения, а также подпункту 2 пункта 1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союзе, подписанного 29 мая 2014 года, в соответствии с которым в рамках Таможенного союза государств-членов применяются ставки таможенных пошлин в соответствии с Единым таможенным тарифом Евразийского экономического союза и иные единые меры регулирования внешней торговли товарами с третьими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считаем целесообразным исключить абзацы пятый-седьмой пункта 5 статьи 2 предусматривающие освобождение от таможенных пошлин и налогов из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Относительно внесения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 охраняемых природных территориях".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Предлагаемые дополнения пунктами 1, 2 и 3 статьи 4 проекта Закона противоречат статьям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особо охраняемых природных территориях".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 охраняемых природных территориях" особо охраняемые природные территории (далее - ООПТ) - это участки территорий и/или акваторий, имеющие приоритетное природоохранное, научное, культурное, эстетическое и историческое значение, являющиеся общенациональным достоянием, полностью или частично, постоянно или временно изъятые из хозяйственной деятельности, для которых устанавливается особый режим охраны и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особо охраняемые природные территории создаются с целью сохранения и изучения естественного хода природных процессов и явлений, объектов растительного и животного мира, отдельных видов и сообществ растений и животных, типичных и уникальных экологических систем и их восстановление.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землях ООПТ запрещается осуществление действий, направленных на ухудшение качества и истощение природных ресурсов и объектов, а также нарушающих режим государственной охраны указанных земель.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Конвенцией</w:t>
      </w:r>
      <w:r>
        <w:rPr>
          <w:rFonts w:ascii="Arial" w:cs="Arial" w:eastAsia="Arial" w:hAnsi="Arial"/>
          <w:sz w:val="24"/>
          <w:szCs w:val="24"/>
        </w:rPr>
        <w:t xml:space="preserve"> ООН о биологическом разнообразии Кыргызская Республика, являясь Стороной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(ратифицирована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биологическом разнообразии" от 26 июля 1996 года № 40), имеет обязательства по сохранению биологического разнообразия страны, и принятию мер по использованию биологических ресурсов с тем, чтобы предотвратить или свести к минимуму неблагоприятное воздействие на биоразнообразие.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проекта Закона, в части внесения изменений по предоставлению земель ООПТ в пользование для объектов по использованию ВИЭ, вызовет негативное антропогенное воздействие и угрозу значительного сокращения и утраты биологического разнообразия.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на этапах строительства, производства, эксплуатации и утилизации ВИЭ-оборудования (ветровые турбины, солнечные коллекторы, малые и крупные ГЭСы и др.), а также монтаж и эксплуатация оборудований (совокупность технических средств для транспортировки и/или распределения и перераспределения энергии) приведут к нарушению естественного развития природных процессов, к нарушению экосистем и исчезновению биоразнообразия.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27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 земельные участки для строительства промышленных предприятий, объектов жилищно-коммунального хозяйства, железных и автомобильных дорог, заправочных станций, хранилищ горюче-смазочных материалов, линий электропередачи и магистральных трубопроводов и иных несельскохозяйственных нужд предоставляются, как правило, из земель несельскохозяйственного назначения или земель, непригодных для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внесение дополнений в статьи 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особо охраняемых природных территориях" считаем недопустимым и предлагаем исключить данные положения из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Пунктом 1 статьи 5 проекта Закона предлагается </w:t>
      </w:r>
      <w:r>
        <w:rPr>
          <w:rFonts w:ascii="Arial" w:cs="Arial" w:eastAsia="Arial" w:hAnsi="Arial"/>
          <w:sz w:val="24"/>
          <w:szCs w:val="24"/>
        </w:rPr>
        <w:t xml:space="preserve">главу 32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 дополнить статьей 449-1, предусматривающей ответственность за нарушение законодательства Кыргызской Республики в области поддержки использования ВИЭ.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проектом Закона не определены органы и должностные лица, уполномоченные выявлять и рассматривать дела об административных правонарушениях по предлагаемой норме.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справке-обосновании к проекту Закона не обозначен механизм выявления или определения нарушений законодательства в этой сфере, а также отсутствует информация о методологии расчета предлагаемой санкции статьи о внесении изменений в Кодекс Кыргызской Республики об административной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Статьей 6 проекта Закона предлагается дополнить часть первую </w:t>
      </w:r>
      <w:r>
        <w:rPr>
          <w:rFonts w:ascii="Arial" w:cs="Arial" w:eastAsia="Arial" w:hAnsi="Arial"/>
          <w:sz w:val="24"/>
          <w:szCs w:val="24"/>
        </w:rPr>
        <w:t xml:space="preserve">статьи 66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регулирующую вопросы изъятия земельного участка, подпунктом 8, предусматривающим основание прекращения (аннулирование) прав пользования земельным участком в случаях использования земельного участка в нарушение его целевого назначения либо неиспользования земельного участка, предоставленного для строительства объекта с использованием ВИЭ, в течение трех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подпункт 4 </w:t>
      </w:r>
      <w:r>
        <w:rPr>
          <w:rFonts w:ascii="Arial" w:cs="Arial" w:eastAsia="Arial" w:hAnsi="Arial"/>
          <w:sz w:val="24"/>
          <w:szCs w:val="24"/>
        </w:rPr>
        <w:t xml:space="preserve">статьи 66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 предусматривает изъятие земельного участка, предоставленного для несельскохозяйственного производства в случае его неиспользования в течение пяти лет, считаем внесение дополнения в </w:t>
      </w:r>
      <w:r>
        <w:rPr>
          <w:rFonts w:ascii="Arial" w:cs="Arial" w:eastAsia="Arial" w:hAnsi="Arial"/>
          <w:sz w:val="24"/>
          <w:szCs w:val="24"/>
        </w:rPr>
        <w:t xml:space="preserve">статью 66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 нецелесообразным.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Относительно анализа регулятивного воздействия (далее - АРВ), подготовленного к проекту Закона, отмечаем, что он не соответствует требованиям методики проведения АРВ нормативных правовых актов на деятельность субъектов предпринимательства,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2014 года № 559.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Правительство Кыргызской Республики считает возможным принятие данного проекта Закона с учетом замечаний и предложений, изложенных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jfo0hmxjpdxxl-mh-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dalil.kg/document/98809</w:t>
      </w:r>
    </w:hyperlink>
  </w:p>
  <w:p>
    <w:pPr>
      <w:spacing w:after="0" w:before="40"/>
      <w:jc w:val="center"/>
    </w:pPr>
    <w:hyperlink w:history="1" r:id="rIdgwu1ohsqx7-rx8bdluf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iu2unpgkcqju6fpbuta" Type="http://schemas.openxmlformats.org/officeDocument/2006/relationships/hyperlink" Target="https://dalil.kg/document/203685" TargetMode="External"/><Relationship Id="rIdytatnr1b67sedmkcum_nj" Type="http://schemas.openxmlformats.org/officeDocument/2006/relationships/hyperlink" Target="https://dalil.kg/document/98809#p1" TargetMode="External"/><Relationship Id="rIdrzrjycvtcshy2gklvzc5m" Type="http://schemas.openxmlformats.org/officeDocument/2006/relationships/hyperlink" Target="https://dalil.kg/document/203685" TargetMode="External"/><Relationship Id="rIdyzcvomf6-pdp8xm-uap2y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jfo0hmxjpdxxl-mh-rp" Type="http://schemas.openxmlformats.org/officeDocument/2006/relationships/hyperlink" Target="https://dalil.kg/document/98809" TargetMode="External"/><Relationship Id="rIdgwu1ohsqx7-rx8bdluf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2026-10-07T01:59:26.841Z</dcterms:created>
  <dcterms:modified xsi:type="dcterms:W3CDTF">2026-10-07T01:59:26.841Z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