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hyperlink w:history="1" r:id="rIdfisr0i562yh5osjfqn_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апреля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№ 217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расчета коэффициентов, применяемых к базовой процентной ставке по государственному ипотечному кредиту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eebbhpenpu7phkgf5d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ипотечном жилищном кредитовании",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upuoqujrnzz0cof76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qw-jzsrvk9c5mcj6d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коэффициентов, применяемых к базовой процентной ставке по государственному ипотечному кредиту,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3egquf9o-gfrbtitnq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августа 2017 года № 534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расчета коэффициентов, применяемых к базовой процентной ставке по государственному ипотечному кредиту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w5ixbbmbmlcrhlc4sc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расчета коэффициентов, применяемых к базовой процентной ставке по государственному ипотечному кредиту (далее - Порядок), регулирует общие методологические принципы формирования и расчета коэффициентов, применяемых уполномоченным органом в сфере ипотечного жилищного кредитования.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портфель</w:t>
      </w:r>
      <w:r>
        <w:rPr>
          <w:rFonts w:ascii="Arial" w:cs="Arial" w:eastAsia="Arial" w:hAnsi="Arial"/>
          <w:sz w:val="24"/>
          <w:szCs w:val="24"/>
        </w:rPr>
        <w:t xml:space="preserve"> - совокупность остатков задолженности по ипотечным кредитам, выданным банками из средств уполномоченного органа в сфере ипотечного жилищного кредитования на определенную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промежуток времени, равный сроку, в течение которого осуществляются расчетные операции (не более 12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привлеченных ресурсов</w:t>
      </w:r>
      <w:r>
        <w:rPr>
          <w:rFonts w:ascii="Arial" w:cs="Arial" w:eastAsia="Arial" w:hAnsi="Arial"/>
          <w:sz w:val="24"/>
          <w:szCs w:val="24"/>
        </w:rPr>
        <w:t xml:space="preserve"> - цена финансовых ресурсов, привлекаемых уполномоченным органом в сфере ипотечного жилищного кредитования (далее - уполномоченный орган) для выдачи и рефинансирования ипотечных кредитов. К примеру, бюджетная ссуда в размере 5 млрд. сомов предоставляется Министерством финансов Кыргызской Республики под 3 процента годовых, таким образом в течение установленного срока уполномоченный орган возвращает обозначенную сумму и дополнительно к ней оплачивает начисленные проценты.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ro9hpzvks_dcygnlpr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Исчисление процентной ставки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Процентная ставка по государственному ипотечному кредиту исчисляется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кредиту = Б * 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базовая процентная ставка, которая определяется в соответствии с </w:t>
      </w:r>
      <w:hyperlink w:history="1" r:id="rId3jkobd6brtzo409ldd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повышающий или понижающий коэффициент.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Размер конечной процентной ставки по государственному ипотечному кредиту, выдаваемому из финансовых средств инвесторов, устанавливается в соответствии с условиями подписанного соглашения, с учетом рыночной конъюнктуры, принципов ответственного финансирования и передового опыта в жилищном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tgq2a_vlrbtgpuwrz7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Исчисление коэффициента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рассчитывается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= К1 + К2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ok7snamggkextm2pi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К1 рассчитывается по следующей формуле: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= (С + М + Р + Д - П) / Б,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стоимость привлеченных ресурсов уполномоченного органа, которая устанавливается уполномоченным органом в рамках установленных соглашений с партнерами, международными донорскими организациями, а также соответствующими решениями Правительства Кыргызской Республики в рамках реализации </w:t>
      </w:r>
      <w:hyperlink w:history="1" r:id="rIdwlpd3jerhnidb3jqku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2015-2020", утвержденной </w:t>
      </w:r>
      <w:hyperlink w:history="1" r:id="rIds6px1dk7mbm56cnsio0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 (далее - Программа)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маржа банка-партнера уполномоченного органа, которая определяется уполномоченным органом в рамках договорных отношений и не превышает 5%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уровень операционных расходов уполномоченного органа за расчетный период, с учетом расходов на эмиссию и размещение ипотечных ценных бумаг (в % годовых), который устанавливается уполномоченным органом исходя из следующей формулы: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= плановые затраты расчетного года / средний инвестиционный портфель уполномоченного органа за расчетный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средний плановый уровень доходности инвестиционного портфеля уполномоченного органа за расчетный период, с учетом прогнозного уровня инфляции, который устанавливается уполномоченным органом в разрезе источников финансирования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государственная финансовая поддержка в форме субсидирования процентной ставки (в % годовых).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43in4kb7hsvrdvctvn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учетом дифференцированного подхода в зависимости от размера первоначального взноса по государственному ипотечному кредиту, выдаваемому для приобретения готового жилья по направлению "Льготная ипотека",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0,0 - при оплате первоначального взноса по государственному ипотечному кредиту от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при оплате первоначального взноса по государственному ипотечному кредиту от 20% до 30%;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0,2 - при оплате первоначального взноса по государственному ипотечному кредиту от 10% до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h4u_2zdufipe0l-boo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государственному ипотечному кредиту, выдаваемому для строительства индивидуального жилого дома по направлению "Льготная ипотека", при оплате первоначального взноса по ипотечному кредиту от 20%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0,4 - в период строительства индивидуального жилого дома, устанавливаемый в целях предотвращения и снижения уровня рисков, связанных со строительством индивидуального жилого дома, и покрытия возможных расходов в случае незавершенного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0,0 - в период после окончания строительства индивидуального жилого дома, устанавливаемый с целью стимулирования строительства и увеличения жилищного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k-kvgayrklbdtp9d-p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По государственному ипотечному кредиту, выдаваемому по направлению "Доступная ипотека", при оплате первоначального взноса по государственному ипотечному кредиту от 20%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0,4 - в период строительства индивидуального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в период после окончания строительства индивидуального жилого дома и для приобретения готового жилья.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ie2nhs0mibj9gcx9g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r5kwx9vjocg6apqclq6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2019 года № 93)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Пример расчета процентной ставки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коэффициента К1 по ипотечным кредитам учитываются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привлеченных ресурсов - 2%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маржа банка-партнера - 3%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операционных расходов уполномоченного органа - 0,4%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плановый уровень доходности инвестиционного портфеля уполномоченного органа - 0,6%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- 0%.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= (2% + 3% + 0,4% + 0,6% - 0%) /10% = 0,6";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изложить в следующей редакции: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* Б = (К1 + К2) * 10% = (0,6 + 0,1) * 10% = 7%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3cyl7_umxmvbeofqor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2019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Утверждение и пересмотр коэффициентов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устанавливает и осуществляет пересмотр процентной ставки по государственному ипотечному кредиту в соответствии с настоящим Порядком.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ze_3cgn99l8zsajym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dalil.kg/document/98943</w:t>
      </w:r>
    </w:hyperlink>
  </w:p>
  <w:p>
    <w:pPr>
      <w:spacing w:after="0" w:before="40"/>
      <w:jc w:val="center"/>
    </w:pPr>
    <w:hyperlink w:history="1" r:id="rIdqf8lts22knpr9ommvzz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sr0i562yh5osjfqn_jq" Type="http://schemas.openxmlformats.org/officeDocument/2006/relationships/hyperlink" Target="https://dalil.kg/document/159098" TargetMode="External"/><Relationship Id="rId7eebbhpenpu7phkgf5dgx" Type="http://schemas.openxmlformats.org/officeDocument/2006/relationships/hyperlink" Target="https://dalil.kg/document/13323" TargetMode="External"/><Relationship Id="rIdoupuoqujrnzz0cof76x3f" Type="http://schemas.openxmlformats.org/officeDocument/2006/relationships/hyperlink" Target="https://dalil.kg/document/203685" TargetMode="External"/><Relationship Id="rIdvqw-jzsrvk9c5mcj6dwpc" Type="http://schemas.openxmlformats.org/officeDocument/2006/relationships/hyperlink" Target="https://dalil.kg/document/98943#p1" TargetMode="External"/><Relationship Id="rIdc3egquf9o-gfrbtitnq8u" Type="http://schemas.openxmlformats.org/officeDocument/2006/relationships/hyperlink" Target="https://dalil.kg/document/98943" TargetMode="External"/><Relationship Id="rIddw5ixbbmbmlcrhlc4sceg" Type="http://schemas.openxmlformats.org/officeDocument/2006/relationships/hyperlink" Target="https://dalil.kg/document/13323" TargetMode="External"/><Relationship Id="rIdjro9hpzvks_dcygnlprsh" Type="http://schemas.openxmlformats.org/officeDocument/2006/relationships/hyperlink" Target="https://dalil.kg/document/13323" TargetMode="External"/><Relationship Id="rId3jkobd6brtzo409lddctj" Type="http://schemas.openxmlformats.org/officeDocument/2006/relationships/hyperlink" Target="https://dalil.kg/document/111580" TargetMode="External"/><Relationship Id="rIdhtgq2a_vlrbtgpuwrz7x3" Type="http://schemas.openxmlformats.org/officeDocument/2006/relationships/hyperlink" Target="https://dalil.kg/document/13323" TargetMode="External"/><Relationship Id="rIdlcok7snamggkextm2pi02" Type="http://schemas.openxmlformats.org/officeDocument/2006/relationships/hyperlink" Target="https://dalil.kg/document/13323" TargetMode="External"/><Relationship Id="rIdwlpd3jerhnidb3jqkucaa" Type="http://schemas.openxmlformats.org/officeDocument/2006/relationships/hyperlink" Target="https://dalil.kg/document/97851" TargetMode="External"/><Relationship Id="rIds6px1dk7mbm56cnsio0-1" Type="http://schemas.openxmlformats.org/officeDocument/2006/relationships/hyperlink" Target="https://dalil.kg/document/97850" TargetMode="External"/><Relationship Id="rIdk43in4kb7hsvrdvctvnby" Type="http://schemas.openxmlformats.org/officeDocument/2006/relationships/hyperlink" Target="https://dalil.kg/document/13323" TargetMode="External"/><Relationship Id="rIdyh4u_2zdufipe0l-boody" Type="http://schemas.openxmlformats.org/officeDocument/2006/relationships/hyperlink" Target="https://dalil.kg/document/13323" TargetMode="External"/><Relationship Id="rIdyk-kvgayrklbdtp9d-pja" Type="http://schemas.openxmlformats.org/officeDocument/2006/relationships/hyperlink" Target="https://dalil.kg/document/13323" TargetMode="External"/><Relationship Id="rIdwyie2nhs0mibj9gcx9gif" Type="http://schemas.openxmlformats.org/officeDocument/2006/relationships/hyperlink" Target="https://dalil.kg/document/13323" TargetMode="External"/><Relationship Id="rIdr5kwx9vjocg6apqclq6ro" Type="http://schemas.openxmlformats.org/officeDocument/2006/relationships/hyperlink" Target="https://dalil.kg/document/13323" TargetMode="External"/><Relationship Id="rIdh3cyl7_umxmvbeofqorrb" Type="http://schemas.openxmlformats.org/officeDocument/2006/relationships/hyperlink" Target="https://dalil.kg/document/1332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ze_3cgn99l8zsajym9d" Type="http://schemas.openxmlformats.org/officeDocument/2006/relationships/hyperlink" Target="https://dalil.kg/document/98943" TargetMode="External"/><Relationship Id="rIdqf8lts22knpr9ommvzz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2026-10-04T07:32:54.316Z</dcterms:created>
  <dcterms:modified xsi:type="dcterms:W3CDTF">2026-10-04T07:32:54.316Z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