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zrhvxqtryh1l0ifzwhvzz">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сентября 2017 года № 580</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gfzdo8mhl8v70ixs1acu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saou-u0tj0gac3l7lijvo">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изменения в Налоговый </w:t>
      </w:r>
      <w:hyperlink w:history="1" r:id="rIdus1mwoqvgkejxnf4ocbw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депутатом Жогорку Кенеша Кыргызской Республики Байбакпаевым Э.Дж.</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изменения в Налоговый кодекс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u6-yx9gw4wnhjje9lztg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изменения в Налоговый кодекс Кыргызской Республики" (далее - проект Закона), инициированный депутатом Жогорку Кенеша Кыргызской Республики Байбакпаевым Э.Дж., приходит к следующему заключению.</w:t>
      </w:r>
    </w:p>
    <w:p>
      <w:pPr>
        <w:spacing w:after="60"/>
        <w:ind w:firstLine="567"/>
        <w:jc w:val="both"/>
      </w:pPr>
      <w:r>
        <w:rPr>
          <w:rFonts w:ascii="Arial" w:cs="Arial" w:eastAsia="Arial" w:hAnsi="Arial"/>
          <w:sz w:val="24"/>
          <w:szCs w:val="24"/>
        </w:rPr>
        <w:t xml:space="preserve">Проект Закона предусматривает повышение предельного уровня имущественного вычета до 460000 сомов в год.</w:t>
      </w:r>
    </w:p>
    <w:p>
      <w:pPr>
        <w:spacing w:after="60"/>
        <w:ind w:firstLine="567"/>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48</w:t>
      </w:r>
      <w:r>
        <w:rPr>
          <w:rFonts w:ascii="Arial" w:cs="Arial" w:eastAsia="Arial" w:hAnsi="Arial"/>
          <w:sz w:val="24"/>
          <w:szCs w:val="24"/>
        </w:rPr>
        <w:t xml:space="preserve"> Бюджетного кодекса Кыргызской Республики налог на имущество поступает в местный бюджет. В случае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60"/>
        <w:ind w:firstLine="567"/>
        <w:jc w:val="both"/>
      </w:pPr>
      <w:r>
        <w:rPr>
          <w:rFonts w:ascii="Arial" w:cs="Arial" w:eastAsia="Arial" w:hAnsi="Arial"/>
          <w:sz w:val="24"/>
          <w:szCs w:val="24"/>
        </w:rPr>
        <w:t xml:space="preserve">В связи с этим отмечаем, что в справке-обосновании к проекту Закона не указана сумма потерь бюджета при принятии данного законопроекта, в том числе потери местного бюджета, и сумма, подлежащая компенсации из республиканского бюджета в случае потерь доходов местных бюджетов, образовавшихся в результате принятия данного проекта Закона.</w:t>
      </w:r>
    </w:p>
    <w:p>
      <w:pPr>
        <w:spacing w:after="60"/>
        <w:ind w:firstLine="567"/>
        <w:jc w:val="both"/>
      </w:pPr>
      <w:r>
        <w:rPr>
          <w:rFonts w:ascii="Arial" w:cs="Arial" w:eastAsia="Arial" w:hAnsi="Arial"/>
          <w:sz w:val="24"/>
          <w:szCs w:val="24"/>
        </w:rPr>
        <w:t xml:space="preserve">По информации Государственной налоговой службы при Правительстве Кыргызской Республики, по итогам декларирования 2014 года по имущественному вычету 393 физическим лицам возвращено 9166013 сомов, за 2015 год - 781 физическому лицу 13520507 сомов.</w:t>
      </w:r>
    </w:p>
    <w:p>
      <w:pPr>
        <w:spacing w:after="60"/>
        <w:ind w:firstLine="567"/>
        <w:jc w:val="both"/>
      </w:pPr>
      <w:r>
        <w:rPr>
          <w:rFonts w:ascii="Arial" w:cs="Arial" w:eastAsia="Arial" w:hAnsi="Arial"/>
          <w:sz w:val="24"/>
          <w:szCs w:val="24"/>
        </w:rPr>
        <w:t xml:space="preserve">Анализ влияния на сумму имущественного вычета по подоходному налогу при увеличении ограничения для имущественного вычета на 460,0 тыс. сомов показывает, что сумма имущественного вычета по подоходному налогу зависит от размера фактически погашенных процентов по ипотеке.</w:t>
      </w:r>
    </w:p>
    <w:p>
      <w:pPr>
        <w:spacing w:after="60"/>
        <w:ind w:firstLine="567"/>
        <w:jc w:val="both"/>
      </w:pPr>
      <w:r>
        <w:rPr>
          <w:rFonts w:ascii="Arial" w:cs="Arial" w:eastAsia="Arial" w:hAnsi="Arial"/>
          <w:sz w:val="24"/>
          <w:szCs w:val="24"/>
        </w:rPr>
        <w:t xml:space="preserve">В случае, если сумма фактически погашенных процентов по ипотеке меньше ограничения по имущественному вычету (&lt;460,0 тыс. сомов), то сумма вычета остается неизменной в сравнении с полученной суммой возврата при действующем ограничении 230, тыс. сомов.</w:t>
      </w:r>
    </w:p>
    <w:p>
      <w:pPr>
        <w:spacing w:after="60"/>
        <w:ind w:firstLine="567"/>
        <w:jc w:val="both"/>
      </w:pPr>
      <w:r>
        <w:rPr>
          <w:rFonts w:ascii="Arial" w:cs="Arial" w:eastAsia="Arial" w:hAnsi="Arial"/>
          <w:sz w:val="24"/>
          <w:szCs w:val="24"/>
        </w:rPr>
        <w:t xml:space="preserve">В случае, если сумма фактически погашенных процентов по ипотеке больше или равняется ограничению по имущественному вычету (&gt;460,0 тыс. сомов), то сумма вычета возрастает в два раза в сравнении с полученной суммой возврата при действующем ограничении 230,0 тыс. сомов.</w:t>
      </w:r>
    </w:p>
    <w:p>
      <w:pPr>
        <w:spacing w:after="60"/>
        <w:ind w:firstLine="567"/>
        <w:jc w:val="both"/>
      </w:pPr>
      <w:r>
        <w:rPr>
          <w:rFonts w:ascii="Arial" w:cs="Arial" w:eastAsia="Arial" w:hAnsi="Arial"/>
          <w:sz w:val="24"/>
          <w:szCs w:val="24"/>
        </w:rPr>
        <w:t xml:space="preserve">Таким образом, если у физического лица сумма фактически погашенных процентов составляла менее 230,0 тыс. сомов, то увеличение порога имущественного вычета до 460,0 тыс. сомов, никак не отразится на размере получаемого возврата.</w:t>
      </w:r>
    </w:p>
    <w:p>
      <w:pPr>
        <w:spacing w:after="60"/>
        <w:ind w:firstLine="567"/>
        <w:jc w:val="both"/>
      </w:pPr>
      <w:r>
        <w:rPr>
          <w:rFonts w:ascii="Arial" w:cs="Arial" w:eastAsia="Arial" w:hAnsi="Arial"/>
          <w:sz w:val="24"/>
          <w:szCs w:val="24"/>
        </w:rPr>
        <w:t xml:space="preserve">Право на имущественный вычет и увеличение предельного уровня вычета до 460,0 тыс. сомов выгодно тем категориям лиц, у которых высокая заработная плата, чем меньше заработная плата, тем меньше возможности гражданам получить ипотечный кредит на жилье ввиду его неплатежеспособности.</w:t>
      </w:r>
    </w:p>
    <w:p>
      <w:pPr>
        <w:spacing w:after="60"/>
        <w:ind w:firstLine="567"/>
        <w:jc w:val="both"/>
      </w:pPr>
      <w:r>
        <w:rPr>
          <w:rFonts w:ascii="Arial" w:cs="Arial" w:eastAsia="Arial" w:hAnsi="Arial"/>
          <w:sz w:val="24"/>
          <w:szCs w:val="24"/>
        </w:rPr>
        <w:t xml:space="preserve">Как показывает практика, правом имущественного вычета преимущественно пользуются работники банков, так как банковская система предусматривает выдачу кредитов на льготных условиях для своих сотрудников, а также граждане с высокими доходами.</w:t>
      </w:r>
    </w:p>
    <w:p>
      <w:pPr>
        <w:spacing w:after="60"/>
        <w:ind w:firstLine="567"/>
        <w:jc w:val="both"/>
      </w:pPr>
      <w:r>
        <w:rPr>
          <w:rFonts w:ascii="Arial" w:cs="Arial" w:eastAsia="Arial" w:hAnsi="Arial"/>
          <w:sz w:val="24"/>
          <w:szCs w:val="24"/>
        </w:rPr>
        <w:t xml:space="preserve">Принятие законопроекта не установит справедливый режим предоставления имущественного вычета, так как право на имущественный вычет выгоден определенным категориям лиц с высоким уровнем доходов.</w:t>
      </w:r>
    </w:p>
    <w:p>
      <w:pPr>
        <w:spacing w:after="60"/>
        <w:ind w:firstLine="567"/>
        <w:jc w:val="both"/>
      </w:pPr>
      <w:r>
        <w:rPr>
          <w:rFonts w:ascii="Arial" w:cs="Arial" w:eastAsia="Arial" w:hAnsi="Arial"/>
          <w:sz w:val="24"/>
          <w:szCs w:val="24"/>
        </w:rPr>
        <w:t xml:space="preserve">Кроме того, принятие нормы приведет к выпадению доходов республиканского и местного бюджетов по подоходному налогу в силу того, что практически вся удержанная сумма подоходного налога будет подлежать возврату из бюджета.</w:t>
      </w:r>
    </w:p>
    <w:p>
      <w:pPr>
        <w:spacing w:after="60"/>
        <w:ind w:firstLine="567"/>
        <w:jc w:val="both"/>
      </w:pPr>
      <w:r>
        <w:rPr>
          <w:rFonts w:ascii="Arial" w:cs="Arial" w:eastAsia="Arial" w:hAnsi="Arial"/>
          <w:sz w:val="24"/>
          <w:szCs w:val="24"/>
        </w:rPr>
        <w:t xml:space="preserve">2. В соответствии со </w:t>
      </w:r>
      <w:r>
        <w:rPr>
          <w:rFonts w:ascii="Arial" w:cs="Arial" w:eastAsia="Arial" w:hAnsi="Arial"/>
          <w:sz w:val="24"/>
          <w:szCs w:val="24"/>
        </w:rPr>
        <w:t xml:space="preserve">статьей 19</w:t>
      </w:r>
      <w:r>
        <w:rPr>
          <w:rFonts w:ascii="Arial" w:cs="Arial" w:eastAsia="Arial" w:hAnsi="Arial"/>
          <w:sz w:val="24"/>
          <w:szCs w:val="24"/>
        </w:rPr>
        <w:t xml:space="preserve"> </w:t>
      </w:r>
      <w:hyperlink w:history="1" r:id="rIdomzudrdm2vydh1v2-mbh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 При этом отмечаем, что проект нормативного правового акта подлежит отклонению в случае непредставления разработчиком обоснования, подготовленного на основе анализа регулятивного воздействия.</w:t>
      </w:r>
    </w:p>
    <w:p>
      <w:pPr>
        <w:spacing w:after="60"/>
        <w:ind w:firstLine="567"/>
        <w:jc w:val="both"/>
      </w:pPr>
      <w:r>
        <w:rPr>
          <w:rFonts w:ascii="Arial" w:cs="Arial" w:eastAsia="Arial" w:hAnsi="Arial"/>
          <w:sz w:val="24"/>
          <w:szCs w:val="24"/>
        </w:rPr>
        <w:t xml:space="preserve">Однако к предлагаемому законопроекту не представлено обоснование, подготовленное на основе анализа регулятивного воздействия.</w:t>
      </w:r>
    </w:p>
    <w:p>
      <w:pPr>
        <w:spacing w:after="60"/>
        <w:ind w:firstLine="567"/>
        <w:jc w:val="both"/>
      </w:pPr>
      <w:r>
        <w:rPr>
          <w:rFonts w:ascii="Arial" w:cs="Arial" w:eastAsia="Arial" w:hAnsi="Arial"/>
          <w:sz w:val="24"/>
          <w:szCs w:val="24"/>
        </w:rPr>
        <w:t xml:space="preserve">3. Предлагаемый проект Закона не отвечает целям следующих программных документов:</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устойчивого развития Кыргызской Республики на период 2013-2017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21 января 2013 года № 11, где отмечено, что отдельным направлением политики в области повышения доходного потенциала налоговой системы станет оптимизация существующей системы налоговых преференций, запрет на необоснованные льготы и освобождения, а также ликвидация имеющихся возможностей для уклонения от налогообложения;</w:t>
      </w:r>
    </w:p>
    <w:p>
      <w:pPr>
        <w:spacing w:after="60"/>
        <w:ind w:firstLine="567"/>
        <w:jc w:val="both"/>
      </w:pPr>
      <w:r>
        <w:rPr>
          <w:rFonts w:ascii="Arial" w:cs="Arial" w:eastAsia="Arial" w:hAnsi="Arial"/>
          <w:sz w:val="24"/>
          <w:szCs w:val="24"/>
        </w:rPr>
        <w:t xml:space="preserve">- Меморандуму по экономической и финансовой политике на 2015-2018 годы, подписанному 24 марта 2015 года между Правительством Кыргызской Республики и Международным валютным фондом, пунктом 12 которого Правительство Кыргызской Республики обязалось воздержаться от возобновления налоговых освобождений, которые прекратили свое действие, а также от введения новых налоговых освобождений и льготных режимов налогообложения для отдельных секторов и видов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Концепции</w:t>
      </w:r>
      <w:r>
        <w:rPr>
          <w:rFonts w:ascii="Arial" w:cs="Arial" w:eastAsia="Arial" w:hAnsi="Arial"/>
          <w:sz w:val="24"/>
          <w:szCs w:val="24"/>
        </w:rPr>
        <w:t xml:space="preserve"> фискальной политики Кыргызской Республики на 2015-2020 годы, утвержденной </w:t>
      </w:r>
      <w:r>
        <w:rPr>
          <w:rFonts w:ascii="Arial" w:cs="Arial" w:eastAsia="Arial" w:hAnsi="Arial"/>
          <w:sz w:val="24"/>
          <w:szCs w:val="24"/>
        </w:rPr>
        <w:t xml:space="preserve">постановлением </w:t>
      </w:r>
      <w:r>
        <w:rPr>
          <w:rFonts w:ascii="Arial" w:cs="Arial" w:eastAsia="Arial" w:hAnsi="Arial"/>
          <w:sz w:val="24"/>
          <w:szCs w:val="24"/>
        </w:rPr>
        <w:t xml:space="preserve">Правительства Кыргызской Республики от 7 июля 2015 года № 455, в которой предусматривается разработка методики оценки обоснованности предоставления преференций по обязательным платежам с использованием практического опыта зарубежных стран, а также максимальное сокращение налоговых преференций и создание системы мониторинга их эффективности путем установления обязанности для льготных категорий налогоплательщиков представлять на постоянной основе налоговую отчетность.</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данного проекта Закона нецелесообразным.</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rhvxqtryh1l0ifzwhvzz" Type="http://schemas.openxmlformats.org/officeDocument/2006/relationships/hyperlink" Target="http://kodeks.duckdns.org/document/230000286" TargetMode="External"/><Relationship Id="rIdgfzdo8mhl8v70ixs1acuf" Type="http://schemas.openxmlformats.org/officeDocument/2006/relationships/hyperlink" Target="http://kodeks.duckdns.org/document/203685" TargetMode="External"/><Relationship Id="rIdsaou-u0tj0gac3l7lijvo" Type="http://schemas.openxmlformats.org/officeDocument/2006/relationships/hyperlink" Target="http://kodeks.duckdns.org/document/98978#p1" TargetMode="External"/><Relationship Id="rIdus1mwoqvgkejxnf4ocbwp" Type="http://schemas.openxmlformats.org/officeDocument/2006/relationships/hyperlink" Target="http://kodeks.duckdns.org/document/202445" TargetMode="External"/><Relationship Id="rIdu6-yx9gw4wnhjje9lztg9" Type="http://schemas.openxmlformats.org/officeDocument/2006/relationships/hyperlink" Target="http://kodeks.duckdns.org/document/203685" TargetMode="External"/><Relationship Id="rIdomzudrdm2vydh1v2-mbh2" Type="http://schemas.openxmlformats.org/officeDocument/2006/relationships/hyperlink" Target="http://kodeks.duckdns.org/document/202591"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2026-09-23T10:39:35.190Z</dcterms:created>
  <dcterms:modified xsi:type="dcterms:W3CDTF">2026-09-23T10:39:35.190Z</dcterms:modified>
</cp:coreProperties>
</file>

<file path=docProps/custom.xml><?xml version="1.0" encoding="utf-8"?>
<Properties xmlns="http://schemas.openxmlformats.org/officeDocument/2006/custom-properties" xmlns:vt="http://schemas.openxmlformats.org/officeDocument/2006/docPropsVTypes"/>
</file>