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_pgi02akicxeqlwvez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1pbivlh-s3iatgk8wi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_srl39srgqft_bupwwo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2016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предварительного уведомления о предстоящем перемещении товаров в целях осуществления предпринимательской деятельности в рамках торговли с государствами-членами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представления налогоплательщиком в налоговый орган предварительного уведомления о намерении осуществить перемещение товаров в целях осуществления предпринимательской деятельности в рамках торговли с государствами-членами Евразийского экономического союза (далее - ЕАЭС) через государственную границу Кыргызской Республики автомобильным, железнодорожным и воздушным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Обмен информацией и порядок взаимодействия между уполномоченным налоговым органом, уполномоченным государственным органом в сфере охраны Государственной границы и уполномоченными организациями в сфере перевозки и/или передачи товара собственнику (грузополучателю) (далее - уполномоченные организации) осуществляются на основании настоящего Порядка и Регламента, утверждаемого совместным решением вышеуказанных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Товары, перемещаемые через государственную границу Кыргызской Республики в рамках торговли с государствами-членами ЕАЭС, подлежат учету налоговым органом, уполномоченным государственным органом в сфере охраны Государственной границы и уполномоченными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Уполномоченными организациями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перевозке железнодорожным транспортом - Государственное предприятие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перевозке воздушным транспортом - открытое акционерное общество "Международный аэропорт "Манас" либо агент, на которого возложена обязанность по учету и/или передаче товаров собственнику (грузополучателю).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Налогоплательщик, намеренный осуществить перемещение товара через государственную границу Кыргызской Республики в целях осуществления предпринимательской деятельности, должен осуществить процедуру предварительного уведомления налогового органа о предстоящем перемещении товара при взаимной торговле между Кыргызской Республикой и государствами-членами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предварительного уведомления осуществляется в течение 30 дней до даты предстоящего перемещения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Уведомление заполняется налогоплательщиком в трех экземплярах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 </w:t>
      </w:r>
      <w:r>
        <w:rPr>
          <w:rFonts w:ascii="Arial" w:cs="Arial" w:eastAsia="Arial" w:hAnsi="Arial"/>
          <w:sz w:val="24"/>
          <w:szCs w:val="24"/>
        </w:rPr>
        <w:t xml:space="preserve">к настоящему Порядку и подается в налоговый орган по месту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уведомлении должны быть заполнены все соответствующие поля, не допускаются исправления, помарки. Уведомление, заполненное ненадлежащим образом, возвращается налогоплательщику для исправления.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несет ответственность за достоверность сведений, указанных в уведомлении и иных представляемых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ввозе товаров из Республики Казахстан, в отношении которых предусмотрено применение пониженных размеров таможенных пошлин по сравнению с Едиными таможенными тарифами, действующими в государствах-членах ЕАЭС, к уведомлению, представляемому в налоговый орган, прилагаются копии договоров с поставщиком товара и копии счетов-фактур (инвойс).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данные, указанные в счете-фактуре, должны соответствовать данным, полученным от соответствующих органов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перемещении автотранспортных средств через государственную границу Кыргызской Республики с территории/на территорию государств-членов ЕАЭС в уведомление вносятся дополнительные сведения, необходимые для регистрации автотранспортного средства в уполномоченном государственном органе в сфере регистрации автотранспортных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VIN (номер кузова);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Налоговый орган рассматривает уведомление и проверяет на наличие налоговой регистрации налогоплательщика, факта представления им налоговой отчетности за предыдущие периоды деятельности, идентичности данных в трех экземплярах и производит отметку в виде подписи должностного лица и проставления штампа, с указанием порядкового номера и даты записи не позднее одного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уведомления остается в налоговом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налоговой регистрации налогоплательщика должностное лицо налогового органа направляет его для прохождения процедуры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факта непредоставления налоговых отчетов за предыдущие отчетные периоды должностное лицо налогового органа отказывает в произведении отметки и проставлении штампа.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перемещении товара, указанного в уведомлении, представленном в налоговый орган, в соответствии с требованиями настоящего Порядка через государственную границу Кыргызской Республики перевозчик (получатель, собственник товара) предъявляет в пункте пропуска через государственную границу должностному лицу уполномоченного государственного органа в сфере охраны Государственной границы и ответственным лицам уполномоченных организаций второй и третий экземпляры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Должностное лицо уполномоченного государственного органа в сфере охраны Государственной границы и ответственное лицо уполномоченной организации производят осмотр транспортных средств, товаров (без вскрытия упаковки и выгрузки товаров с транспортных средств), с целью уточнения соответствия товаров, указанных в уведомлении, и проставляют на втором и третьем экземплярах уведомления штамп, с указанием даты и названия пункта пропуска или уполномоченной организации о прохождении товара через государственную границу. При этом второй экземпляр уведомления остается у должностного лица уполномоченного государственного органа в сфере охраны Государственной границы и у ответственных лиц уполномоченных организаций, третий экземпляр вручается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Должностное лицо уполномоченного государственного органа в сфере охраны Государственной границы производит запись в журнале учета уведомлений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 </w:t>
      </w:r>
      <w:r>
        <w:rPr>
          <w:rFonts w:ascii="Arial" w:cs="Arial" w:eastAsia="Arial" w:hAnsi="Arial"/>
          <w:sz w:val="24"/>
          <w:szCs w:val="24"/>
        </w:rPr>
        <w:t xml:space="preserve">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Ответственное лицо уполномоченной организации либо ее агент производит запись в журнале учета уведомлений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 </w:t>
      </w:r>
      <w:r>
        <w:rPr>
          <w:rFonts w:ascii="Arial" w:cs="Arial" w:eastAsia="Arial" w:hAnsi="Arial"/>
          <w:sz w:val="24"/>
          <w:szCs w:val="24"/>
        </w:rPr>
        <w:t xml:space="preserve">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Должностное лицо уполномоченного государственного органа в сфере охраны Государственной границы и ответственные лица уполномоченных организаций формируют полученные уведомления в пакетах для последующей передачи должностному лицу налогового органа не реже одного раза в месяц и не позднее 5 числа следующего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заполнения уведомления и журналов учета уведомлений определяется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уполномоченного государственного органа в сфере охраны Государственной границы журналами учета уведомлений осуществляется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налоговый орган организовывает учет и налоговое администрирование субъектов, осуществляющих ввоз и вывоз товаров в рамках предпринимательской деятельности, осуществляемой в рамках торговли с государствами-членами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Датой пересечения государственной границы Кыргызской Республики при перемещении товара через государственную границу Кыргызской Республики с территории/на территорию государств-членов ЕАЭС считается дата, указанная на штампе уведомления, проставленная должностным лицом уполномоченного государственного органа в сфере охраны Государственной границы по железнодорожным перевозкам - дата прибытия/выбытия на станцию назначения/отправления; по авиаперевозкам - дата оформления товара уполномоченными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утери (порчи) уведомления налогоплательщик вправе обратиться в налоговый орган для получения дубликата уведомления. Выдача дубликата уведомления осуществляется налоговым органом в течение двух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транзите товаров через территорию Кыргызской Республики уведомление не заполняется. В данном случае налогоплательщик обязан представить копию транзитной декларации должностному лицу уполномоченного государственного органа в сфере охраны Государственной границы и ответственным лицам уполномоченных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ответственные лица уполномоченных организаций проставляют штамп (с датой и названием пункта пропуска) на копии транзитной декларации и ведут их отдельный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Отдельный учет транзитной декларации также ведется уполномоченным государственным органом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отсутствия у налогоплательщика уведомления или при несоответствии (недостоверности) данных, указанных в уведомлении с перемещаемым товаром, уполномоченный государственный орган в сфере охраны Государственной границы информирует территориальную мобильную группу и временно изымает имеющиеся документы на транспорт и товар.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нерабочее время либо в условиях невозможности информирования территориальной мобильной группы о непропуске транспортного средства с перемещаемым товаром информирование осуществляется по линии оперативно-дежурных служб государственных органов, задействованных в работе территориальной мобильной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мобильная группа создается из числа сотрудников Государственной службы по борьбе с экономическими преступлениями при Правительстве Кыргызской Республики (финансовая полиция), Министерства внутренних дел Кыргызской Республики и Государственной налоговой службы при Правительстве Кыргызской Республики в целях организации контрольно-оперативных и рейдовых мероприятий по выявлению и пресечению фактов неучтенного ввоза/вывоза товаров, нарушений требований по перемещению товаров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мобильная группа после получения информации обязана прибыть к пункту пропуска в течение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 перемещаемым товаром не пропускается до прибытия территориальной мобильной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уполномоченного государственного органа в сфере охраны Государственной границы передает изъятые у перевозчика документы на транспорт и товар члену территориальной мобильной группы и осуществляет пропуск транспортного средства в сопровождении территориальной мобильной группы для размещения на штрафных стоянках, до выяснения обстоятельств и обеспечения оформления соответствующего уведомления и представления второго экземпляра уполномоченному государственному органу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у налогоплательщика уведомления или при несоответствии (недостоверности) данных, указанных в уведомлении с перемещаемым товаром железнодорожным и воздушным транспортом, ответственное лицо уполномоченной организации либо ее агент информирует территориальные мобильные группы и приостанавливает оформление документов на получение/отправку товара до обеспечения оформления соответствующего уведомления о предстоящем перемещении товаров и представления второго экземпляра уполномоченной организации либо ее агенту.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обнаружения неточности либо недостоверных данных, указанных в уведомлении при перемещении товара и пересечении границы, первоначально заполненное уведомление подлежит возврату в налоговый орган с последующей заменой на уточненное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_zbi96ktovbifsnllof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
 о предстоящем перемещении товара в целях осуществления предпринимательской деятельности в рамках торговли с государствами-членами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29m96gfqfzhnblkqzow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предварительных уведомлений о перемещении товаров через государственную границу Кыргызской Республики при торговле с государствами-членами Евразийского экономического союза (автомобильные пункты пропуска через государственной границу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733"/>
        <w:gridCol w:w="1592"/>
        <w:gridCol w:w="2049"/>
        <w:gridCol w:w="2049"/>
        <w:gridCol w:w="2257"/>
        <w:gridCol w:w="963"/>
      </w:tblGrid>
      <w:tr>
        <w:tc>
          <w:tcPr>
            <w:tcW w:type="dxa" w:w="5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записи</w:t>
            </w:r>
          </w:p>
        </w:tc>
        <w:tc>
          <w:tcPr>
            <w:tcW w:type="dxa" w:w="15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предварительного уведомления</w:t>
            </w:r>
          </w:p>
        </w:tc>
        <w:tc>
          <w:tcPr>
            <w:tcW w:type="dxa" w:w="40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налогоплательщике</w:t>
            </w:r>
          </w:p>
        </w:tc>
        <w:tc>
          <w:tcPr>
            <w:tcW w:type="dxa" w:w="22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должность ответственного лица территориального подразделения ГПС</w:t>
            </w:r>
          </w:p>
        </w:tc>
        <w:tc>
          <w:tcPr>
            <w:tcW w:type="dxa" w:w="9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налогоплательщика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налогоплательщика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Запись в Журнале производится ежедневно на основании данных, указанных в уведомлении, представленном налогоплательщиком при пересечении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bgt7olvppjkfn7avhc-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перемещения товаров через государственную границу Кыргызской Республики при торговле с государствами-членами Евразийского экономического союза железнодорожным/авиационным транспортом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4"/>
        <w:gridCol w:w="405"/>
        <w:gridCol w:w="710"/>
        <w:gridCol w:w="539"/>
        <w:gridCol w:w="725"/>
        <w:gridCol w:w="725"/>
        <w:gridCol w:w="725"/>
        <w:gridCol w:w="725"/>
        <w:gridCol w:w="501"/>
        <w:gridCol w:w="501"/>
        <w:gridCol w:w="501"/>
        <w:gridCol w:w="501"/>
        <w:gridCol w:w="501"/>
        <w:gridCol w:w="501"/>
        <w:gridCol w:w="805"/>
        <w:gridCol w:w="805"/>
        <w:gridCol w:w="805"/>
      </w:tblGrid>
      <w:tr>
        <w:tc>
          <w:tcPr>
            <w:tcW w:type="dxa" w:w="2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записи</w:t>
            </w:r>
          </w:p>
        </w:tc>
        <w:tc>
          <w:tcPr>
            <w:tcW w:type="dxa" w:w="7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предварител. уведомления</w:t>
            </w:r>
          </w:p>
        </w:tc>
        <w:tc>
          <w:tcPr>
            <w:tcW w:type="dxa" w:w="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Станция, аэропорт, склад</w:t>
            </w:r>
          </w:p>
        </w:tc>
        <w:tc>
          <w:tcPr>
            <w:tcW w:type="dxa" w:w="29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грузополучателе</w:t>
            </w:r>
          </w:p>
        </w:tc>
        <w:tc>
          <w:tcPr>
            <w:tcW w:type="dxa" w:w="300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грузе</w:t>
            </w:r>
          </w:p>
        </w:tc>
        <w:tc>
          <w:tcPr>
            <w:tcW w:type="dxa" w:w="241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отправителе груза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грузополучателя</w:t>
            </w:r>
          </w:p>
        </w:tc>
        <w:tc>
          <w:tcPr>
            <w:tcW w:type="dxa" w:w="7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грузополучателя</w:t>
            </w:r>
          </w:p>
        </w:tc>
        <w:tc>
          <w:tcPr>
            <w:tcW w:type="dxa" w:w="7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грузополучателя</w:t>
            </w:r>
          </w:p>
        </w:tc>
        <w:tc>
          <w:tcPr>
            <w:tcW w:type="dxa" w:w="7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УГНС</w:t>
            </w:r>
          </w:p>
        </w:tc>
        <w:tc>
          <w:tcPr>
            <w:tcW w:type="dxa" w:w="5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группы товара по ТН ВЭД</w:t>
            </w:r>
          </w:p>
        </w:tc>
        <w:tc>
          <w:tcPr>
            <w:tcW w:type="dxa" w:w="5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груза</w:t>
            </w:r>
          </w:p>
        </w:tc>
        <w:tc>
          <w:tcPr>
            <w:tcW w:type="dxa" w:w="5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(вес)</w:t>
            </w:r>
          </w:p>
        </w:tc>
        <w:tc>
          <w:tcPr>
            <w:tcW w:type="dxa" w:w="1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 договору</w:t>
            </w:r>
          </w:p>
        </w:tc>
        <w:tc>
          <w:tcPr>
            <w:tcW w:type="dxa" w:w="5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назначение груза</w:t>
            </w:r>
          </w:p>
        </w:tc>
        <w:tc>
          <w:tcPr>
            <w:tcW w:type="dxa" w:w="8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отправления импорт 0/экспорт 1</w:t>
            </w:r>
          </w:p>
        </w:tc>
        <w:tc>
          <w:tcPr>
            <w:tcW w:type="dxa" w:w="8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отправителя (экспортер/импортер)</w:t>
            </w:r>
          </w:p>
        </w:tc>
        <w:tc>
          <w:tcPr>
            <w:tcW w:type="dxa" w:w="8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отправителя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иностр. валюте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сомах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wetenk_adrkdacvbh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dalil.kg/document/99026</w:t>
      </w:r>
    </w:hyperlink>
  </w:p>
  <w:p>
    <w:pPr>
      <w:spacing w:after="0" w:before="40"/>
      <w:jc w:val="center"/>
    </w:pPr>
    <w:hyperlink w:history="1" r:id="rId_s-zv87agziypkr_wi-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pgi02akicxeqlwvezyn" Type="http://schemas.openxmlformats.org/officeDocument/2006/relationships/hyperlink" Target="https://dalil.kg/document/98661" TargetMode="External"/><Relationship Id="rId1pbivlh-s3iatgk8winjb" Type="http://schemas.openxmlformats.org/officeDocument/2006/relationships/hyperlink" Target="https://dalil.kg/document/99026#&#1088;1" TargetMode="External"/><Relationship Id="rId_srl39srgqft_bupwwoh8" Type="http://schemas.openxmlformats.org/officeDocument/2006/relationships/hyperlink" Target="https://dalil.kg/document/99025" TargetMode="External"/><Relationship Id="rId_zbi96ktovbifsnllofzp" Type="http://schemas.openxmlformats.org/officeDocument/2006/relationships/hyperlink" Target="https://dalil.kg/document/99026#&#1088;1" TargetMode="External"/><Relationship Id="rId29m96gfqfzhnblkqzowv5" Type="http://schemas.openxmlformats.org/officeDocument/2006/relationships/hyperlink" Target="https://dalil.kg/document/99026#&#1088;2" TargetMode="External"/><Relationship Id="rIdbgt7olvppjkfn7avhc-rp" Type="http://schemas.openxmlformats.org/officeDocument/2006/relationships/hyperlink" Target="https://dalil.kg/document/99026#&#1088;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wetenk_adrkdacvbhy-" Type="http://schemas.openxmlformats.org/officeDocument/2006/relationships/hyperlink" Target="https://dalil.kg/document/99026" TargetMode="External"/><Relationship Id="rId_s-zv87agziypkr_wi-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2026-09-25T09:26:26.717Z</dcterms:created>
  <dcterms:modified xsi:type="dcterms:W3CDTF">2026-09-25T09:26:26.717Z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