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zl1iktbzt9ma2d-xlya0n">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Специальном счете Государственного агентства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lbdtoaabewkutfravaqkx">
        <w:r>
          <w:rPr>
            <w:rFonts w:ascii="Arial" w:cs="Arial" w:eastAsia="Arial" w:hAnsi="Arial"/>
            <w:color w:val="1D4ED8"/>
            <w:sz w:val="24"/>
            <w:szCs w:val="24"/>
            <w:u w:val="single"/>
          </w:rPr>
          <w:t xml:space="preserve">15 июля 2016 года № 401</w:t>
        </w:r>
      </w:hyperlink>
      <w:r>
        <w:rPr>
          <w:rFonts w:ascii="Arial" w:cs="Arial" w:eastAsia="Arial" w:hAnsi="Arial"/>
          <w:sz w:val="24"/>
          <w:szCs w:val="24"/>
        </w:rPr>
        <w:t xml:space="preserve">, </w:t>
      </w:r>
      <w:hyperlink w:history="1" r:id="rIdfj_upjwausxxctjdjz4qi">
        <w:r>
          <w:rPr>
            <w:rFonts w:ascii="Arial" w:cs="Arial" w:eastAsia="Arial" w:hAnsi="Arial"/>
            <w:color w:val="1D4ED8"/>
            <w:sz w:val="24"/>
            <w:szCs w:val="24"/>
            <w:u w:val="single"/>
          </w:rPr>
          <w:t xml:space="preserve">30 декабря 2016 года № 714</w:t>
        </w:r>
      </w:hyperlink>
      <w:r>
        <w:rPr>
          <w:rFonts w:ascii="Arial" w:cs="Arial" w:eastAsia="Arial" w:hAnsi="Arial"/>
          <w:sz w:val="24"/>
          <w:szCs w:val="24"/>
        </w:rPr>
        <w:t xml:space="preserve">, </w:t>
      </w:r>
      <w:hyperlink w:history="1" r:id="rId7mfqiplbdz9abrk9detjf">
        <w:r>
          <w:rPr>
            <w:rFonts w:ascii="Arial" w:cs="Arial" w:eastAsia="Arial" w:hAnsi="Arial"/>
            <w:color w:val="1D4ED8"/>
            <w:sz w:val="24"/>
            <w:szCs w:val="24"/>
            <w:u w:val="single"/>
          </w:rPr>
          <w:t xml:space="preserve">31 июля 2017 года № 454</w:t>
        </w:r>
      </w:hyperlink>
      <w:r>
        <w:rPr>
          <w:rFonts w:ascii="Arial" w:cs="Arial" w:eastAsia="Arial" w:hAnsi="Arial"/>
          <w:sz w:val="24"/>
          <w:szCs w:val="24"/>
        </w:rPr>
        <w:t xml:space="preserve">, </w:t>
      </w:r>
      <w:hyperlink w:history="1" r:id="rId3uiiqj8jxvf753khxliwh">
        <w:r>
          <w:rPr>
            <w:rFonts w:ascii="Arial" w:cs="Arial" w:eastAsia="Arial" w:hAnsi="Arial"/>
            <w:color w:val="1D4ED8"/>
            <w:sz w:val="24"/>
            <w:szCs w:val="24"/>
            <w:u w:val="single"/>
          </w:rPr>
          <w:t xml:space="preserve">17 января 2018 года № 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порядок образования и расходования средств Специального счета Государственного комитета промышленности, энергетики и недропользования Кыргызской Республики (далее - Комитет).</w:t>
      </w:r>
    </w:p>
    <w:p>
      <w:pPr>
        <w:spacing w:after="120"/>
        <w:ind w:firstLine="397"/>
        <w:jc w:val="left"/>
      </w:pPr>
      <w:r>
        <w:rPr>
          <w:rFonts w:ascii="Arial" w:cs="Arial" w:eastAsia="Arial" w:hAnsi="Arial"/>
          <w:sz w:val="24"/>
          <w:szCs w:val="24"/>
        </w:rPr>
        <w:t xml:space="preserve">(В редакции постановления Правительства КР от </w:t>
      </w:r>
      <w:hyperlink w:history="1" r:id="rIdlt-dnhwvdli3qduoalc4z">
        <w:r>
          <w:rPr>
            <w:rFonts w:ascii="Arial" w:cs="Arial" w:eastAsia="Arial" w:hAnsi="Arial"/>
            <w:color w:val="1D4ED8"/>
            <w:sz w:val="24"/>
            <w:szCs w:val="24"/>
            <w:u w:val="single"/>
          </w:rPr>
          <w:t xml:space="preserve">15 июля 2016 года № 401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Средствами Специального счета являются средства, получаемые Агентством помимо ассигнований, выделяемых из республиканского бюджета Кыргызской Республики. Средства Специального счета расходуются строго по целевому назначению.</w:t>
      </w:r>
    </w:p>
    <w:p>
      <w:pPr>
        <w:spacing w:after="120"/>
        <w:jc w:val="both"/>
      </w:pPr>
      <w:r>
        <w:rPr>
          <w:rFonts w:ascii="Arial" w:cs="Arial" w:eastAsia="Arial" w:hAnsi="Arial"/>
          <w:sz w:val="24"/>
          <w:szCs w:val="24"/>
        </w:rPr>
        <w:t xml:space="preserve">Указанные средства включаются в государственный бюджет Кыргызской Республики и выделяются в доходной и расходной частях бюджета отдельным приложением.</w:t>
      </w:r>
    </w:p>
    <w:p>
      <w:pPr>
        <w:spacing w:after="120"/>
        <w:jc w:val="both"/>
      </w:pPr>
      <w:r>
        <w:rPr>
          <w:rFonts w:ascii="Arial" w:cs="Arial" w:eastAsia="Arial" w:hAnsi="Arial"/>
          <w:sz w:val="24"/>
          <w:szCs w:val="24"/>
        </w:rPr>
        <w:t xml:space="preserve">3. Специальный счет Агентства открывается в целях:</w:t>
      </w:r>
    </w:p>
    <w:p>
      <w:pPr>
        <w:spacing w:after="120"/>
        <w:jc w:val="both"/>
      </w:pPr>
      <w:r>
        <w:rPr>
          <w:rFonts w:ascii="Arial" w:cs="Arial" w:eastAsia="Arial" w:hAnsi="Arial"/>
          <w:sz w:val="24"/>
          <w:szCs w:val="24"/>
        </w:rPr>
        <w:t xml:space="preserve">- развития минерально-сырьевой базы Кыргызской Республики;</w:t>
      </w:r>
    </w:p>
    <w:p>
      <w:pPr>
        <w:spacing w:after="120"/>
        <w:jc w:val="both"/>
      </w:pPr>
      <w:r>
        <w:rPr>
          <w:rFonts w:ascii="Arial" w:cs="Arial" w:eastAsia="Arial" w:hAnsi="Arial"/>
          <w:sz w:val="24"/>
          <w:szCs w:val="24"/>
        </w:rPr>
        <w:t xml:space="preserve">- создания необходимых материально-технических условий для деятельности Агентства, его подведомственных подразделений и предприятий;</w:t>
      </w:r>
    </w:p>
    <w:p>
      <w:pPr>
        <w:spacing w:after="120"/>
        <w:jc w:val="both"/>
      </w:pPr>
      <w:r>
        <w:rPr>
          <w:rFonts w:ascii="Arial" w:cs="Arial" w:eastAsia="Arial" w:hAnsi="Arial"/>
          <w:sz w:val="24"/>
          <w:szCs w:val="24"/>
        </w:rPr>
        <w:t xml:space="preserve">- обеспечения социальной защиты и гарантий, повышения квалификации работников центрального аппарата Агентства.</w:t>
      </w:r>
    </w:p>
    <w:p>
      <w:pPr>
        <w:spacing w:after="120"/>
        <w:jc w:val="both"/>
      </w:pPr>
      <w:r>
        <w:rPr>
          <w:rFonts w:ascii="Arial" w:cs="Arial" w:eastAsia="Arial" w:hAnsi="Arial"/>
          <w:sz w:val="24"/>
          <w:szCs w:val="24"/>
        </w:rPr>
        <w:t xml:space="preserve">4. Специальный счет Агентства открывается в Центральном казначействе Министерства финансов Кыргызской Республики.</w:t>
      </w:r>
    </w:p>
    <w:p>
      <w:pPr>
        <w:spacing w:after="120"/>
        <w:jc w:val="both"/>
      </w:pPr>
      <w:r>
        <w:rPr>
          <w:rFonts w:ascii="Arial" w:cs="Arial" w:eastAsia="Arial" w:hAnsi="Arial"/>
          <w:sz w:val="24"/>
          <w:szCs w:val="24"/>
        </w:rPr>
        <w:t xml:space="preserve">5. Распорядителями средств Специального счета является директор Агентства, а в его отсутствие - заместитель директора или статс-секретарь, которому предоставлено право распоряжаться бюджетными ассигнованиями.</w:t>
      </w:r>
    </w:p>
    <w:p>
      <w:pPr>
        <w:spacing w:after="120"/>
        <w:jc w:val="both"/>
      </w:pPr>
      <w:r>
        <w:rPr>
          <w:rFonts w:ascii="Arial" w:cs="Arial" w:eastAsia="Arial" w:hAnsi="Arial"/>
          <w:sz w:val="24"/>
          <w:szCs w:val="24"/>
        </w:rPr>
        <w:t xml:space="preserve">Распоряжение средствами, предназначенными в соответствии с законодательством Кыргызской Республики для развития и пополнения минерально-сырьевой базы Кыргызской Республики, осуществляется на основании решений комиссии, возглавляемой заместителем директора Агентства, в составе представителей профильного отдела Аппарата Правительства Кыргызской Республики, Министерства экономики Кыргызской Республики, Министерства финансов Кыргызской Республики, Фонда по управлению государственным имуществом при Правительстве Кыргызской Республики, Института геологии имени М.М.Адышева Национальной академии наук Кыргызской Республики, принимаемых большинством голосов. Состав комиссии утверждается приказом Агентства.</w:t>
      </w:r>
    </w:p>
    <w:p>
      <w:pPr>
        <w:spacing w:after="120"/>
        <w:jc w:val="both"/>
      </w:pPr>
      <w:r>
        <w:rPr>
          <w:rFonts w:ascii="Arial" w:cs="Arial" w:eastAsia="Arial" w:hAnsi="Arial"/>
          <w:sz w:val="24"/>
          <w:szCs w:val="24"/>
        </w:rPr>
        <w:t xml:space="preserve">2. Источники образования Специального счета</w:t>
      </w:r>
    </w:p>
    <w:p>
      <w:pPr>
        <w:spacing w:after="120"/>
        <w:jc w:val="both"/>
      </w:pPr>
      <w:r>
        <w:rPr>
          <w:rFonts w:ascii="Arial" w:cs="Arial" w:eastAsia="Arial" w:hAnsi="Arial"/>
          <w:sz w:val="24"/>
          <w:szCs w:val="24"/>
        </w:rPr>
        <w:t xml:space="preserve">6. Средства Специального счета формируются за счет:</w:t>
      </w:r>
    </w:p>
    <w:p>
      <w:pPr>
        <w:spacing w:after="120"/>
        <w:jc w:val="both"/>
      </w:pPr>
      <w:r>
        <w:rPr>
          <w:rFonts w:ascii="Arial" w:cs="Arial" w:eastAsia="Arial" w:hAnsi="Arial"/>
          <w:sz w:val="24"/>
          <w:szCs w:val="24"/>
        </w:rPr>
        <w:t xml:space="preserve">- оказания платных услуг;</w:t>
      </w:r>
    </w:p>
    <w:p>
      <w:pPr>
        <w:spacing w:after="120"/>
        <w:jc w:val="both"/>
      </w:pPr>
      <w:r>
        <w:rPr>
          <w:rFonts w:ascii="Arial" w:cs="Arial" w:eastAsia="Arial" w:hAnsi="Arial"/>
          <w:sz w:val="24"/>
          <w:szCs w:val="24"/>
        </w:rPr>
        <w:t xml:space="preserve">- добровольных взносов юридических и физических лиц;</w:t>
      </w:r>
    </w:p>
    <w:p>
      <w:pPr>
        <w:spacing w:after="120"/>
        <w:jc w:val="both"/>
      </w:pPr>
      <w:r>
        <w:rPr>
          <w:rFonts w:ascii="Arial" w:cs="Arial" w:eastAsia="Arial" w:hAnsi="Arial"/>
          <w:sz w:val="24"/>
          <w:szCs w:val="24"/>
        </w:rPr>
        <w:t xml:space="preserve">- сборов и отчислений от аукционов и конкурсов на право пользование недрами в размере, установленном законодательством Кыргызской Республики;</w:t>
      </w:r>
    </w:p>
    <w:p>
      <w:pPr>
        <w:spacing w:after="120"/>
        <w:jc w:val="both"/>
      </w:pPr>
      <w:r>
        <w:rPr>
          <w:rFonts w:ascii="Arial" w:cs="Arial" w:eastAsia="Arial" w:hAnsi="Arial"/>
          <w:sz w:val="24"/>
          <w:szCs w:val="24"/>
        </w:rPr>
        <w:t xml:space="preserve">- других поступлений, предусмотренных законодательством Кыргызской Республики.</w:t>
      </w:r>
    </w:p>
    <w:p>
      <w:pPr>
        <w:spacing w:after="120"/>
        <w:jc w:val="both"/>
      </w:pPr>
      <w:r>
        <w:rPr>
          <w:rFonts w:ascii="Arial" w:cs="Arial" w:eastAsia="Arial" w:hAnsi="Arial"/>
          <w:sz w:val="24"/>
          <w:szCs w:val="24"/>
        </w:rPr>
        <w:t xml:space="preserve">7. Поступление денежных средств осуществляется в наличной и безналичной формах в национальной или иностранной валюте.</w:t>
      </w:r>
    </w:p>
    <w:p>
      <w:pPr>
        <w:spacing w:after="120"/>
        <w:jc w:val="both"/>
      </w:pPr>
      <w:r>
        <w:rPr>
          <w:rFonts w:ascii="Arial" w:cs="Arial" w:eastAsia="Arial" w:hAnsi="Arial"/>
          <w:sz w:val="24"/>
          <w:szCs w:val="24"/>
        </w:rPr>
        <w:t xml:space="preserve">3. Порядок использования и учета средств Специального счета</w:t>
      </w:r>
    </w:p>
    <w:p>
      <w:pPr>
        <w:spacing w:after="120"/>
        <w:jc w:val="both"/>
      </w:pPr>
      <w:r>
        <w:rPr>
          <w:rFonts w:ascii="Arial" w:cs="Arial" w:eastAsia="Arial" w:hAnsi="Arial"/>
          <w:sz w:val="24"/>
          <w:szCs w:val="24"/>
        </w:rPr>
        <w:t xml:space="preserve">8. Средства Специального счета используются на:</w:t>
      </w:r>
    </w:p>
    <w:p>
      <w:pPr>
        <w:spacing w:after="120"/>
        <w:jc w:val="both"/>
      </w:pPr>
      <w:r>
        <w:rPr>
          <w:rFonts w:ascii="Arial" w:cs="Arial" w:eastAsia="Arial" w:hAnsi="Arial"/>
          <w:sz w:val="24"/>
          <w:szCs w:val="24"/>
        </w:rPr>
        <w:t xml:space="preserve">- оказание единовременной материальной помощи работникам центрального аппарата Агентства для лечебных и иных целей;</w:t>
      </w:r>
    </w:p>
    <w:p>
      <w:pPr>
        <w:spacing w:after="120"/>
        <w:jc w:val="both"/>
      </w:pPr>
      <w:r>
        <w:rPr>
          <w:rFonts w:ascii="Arial" w:cs="Arial" w:eastAsia="Arial" w:hAnsi="Arial"/>
          <w:sz w:val="24"/>
          <w:szCs w:val="24"/>
        </w:rPr>
        <w:t xml:space="preserve">- частичную компенсацию работникам центрального аппарата Агентства стоимости путевок в оздоровительные учреждения;</w:t>
      </w:r>
    </w:p>
    <w:p>
      <w:pPr>
        <w:spacing w:after="120"/>
        <w:jc w:val="both"/>
      </w:pPr>
      <w:r>
        <w:rPr>
          <w:rFonts w:ascii="Arial" w:cs="Arial" w:eastAsia="Arial" w:hAnsi="Arial"/>
          <w:sz w:val="24"/>
          <w:szCs w:val="24"/>
        </w:rPr>
        <w:t xml:space="preserve">- единовременное премирование работников центрального аппарата Агентства;</w:t>
      </w:r>
    </w:p>
    <w:p>
      <w:pPr>
        <w:spacing w:after="120"/>
        <w:jc w:val="both"/>
      </w:pPr>
      <w:r>
        <w:rPr>
          <w:rFonts w:ascii="Arial" w:cs="Arial" w:eastAsia="Arial" w:hAnsi="Arial"/>
          <w:sz w:val="24"/>
          <w:szCs w:val="24"/>
        </w:rPr>
        <w:t xml:space="preserve">- материальное поощрение по представлению статс-секретаря работников центрального аппарата Агентства;</w:t>
      </w:r>
    </w:p>
    <w:p>
      <w:pPr>
        <w:spacing w:after="120"/>
        <w:jc w:val="both"/>
      </w:pPr>
      <w:r>
        <w:rPr>
          <w:rFonts w:ascii="Arial" w:cs="Arial" w:eastAsia="Arial" w:hAnsi="Arial"/>
          <w:sz w:val="24"/>
          <w:szCs w:val="24"/>
        </w:rPr>
        <w:t xml:space="preserve">- приобретение автотранспорта для служебных целей, запасных частей к нему и горюче-смазочных материалов;</w:t>
      </w:r>
    </w:p>
    <w:p>
      <w:pPr>
        <w:spacing w:after="120"/>
        <w:jc w:val="both"/>
      </w:pPr>
      <w:r>
        <w:rPr>
          <w:rFonts w:ascii="Arial" w:cs="Arial" w:eastAsia="Arial" w:hAnsi="Arial"/>
          <w:sz w:val="24"/>
          <w:szCs w:val="24"/>
        </w:rPr>
        <w:t xml:space="preserve">- выплату доплат, надбавок и поощрительных выплат, в том числе за ненормированный труд и сверхурочную работу;</w:t>
      </w:r>
    </w:p>
    <w:p>
      <w:pPr>
        <w:spacing w:after="120"/>
        <w:jc w:val="both"/>
      </w:pPr>
      <w:r>
        <w:rPr>
          <w:rFonts w:ascii="Arial" w:cs="Arial" w:eastAsia="Arial" w:hAnsi="Arial"/>
          <w:sz w:val="24"/>
          <w:szCs w:val="24"/>
        </w:rPr>
        <w:t xml:space="preserve">- возмещение компенсаций за использование работниками центрального аппарата Агентства личного транспорта в служебных целях в соответствии с законодательством Кыргызской Республики;</w:t>
      </w:r>
    </w:p>
    <w:p>
      <w:pPr>
        <w:spacing w:after="120"/>
        <w:jc w:val="both"/>
      </w:pPr>
      <w:r>
        <w:rPr>
          <w:rFonts w:ascii="Arial" w:cs="Arial" w:eastAsia="Arial" w:hAnsi="Arial"/>
          <w:sz w:val="24"/>
          <w:szCs w:val="24"/>
        </w:rPr>
        <w:t xml:space="preserve">- оплату расходов на проезд на общественном транспорте внутри города, района и частичную компенсацию расходов на питание;</w:t>
      </w:r>
    </w:p>
    <w:p>
      <w:pPr>
        <w:spacing w:after="120"/>
        <w:jc w:val="both"/>
      </w:pPr>
      <w:r>
        <w:rPr>
          <w:rFonts w:ascii="Arial" w:cs="Arial" w:eastAsia="Arial" w:hAnsi="Arial"/>
          <w:sz w:val="24"/>
          <w:szCs w:val="24"/>
        </w:rPr>
        <w:t xml:space="preserve">- долевое участие в строительстве жилья и оздоровительных учреждений, приобретение жилья, капитальный и текущий ремонт служебных помещений и другие расходы на улучшение условий труда и быта;</w:t>
      </w:r>
    </w:p>
    <w:p>
      <w:pPr>
        <w:spacing w:after="120"/>
        <w:jc w:val="both"/>
      </w:pPr>
      <w:r>
        <w:rPr>
          <w:rFonts w:ascii="Arial" w:cs="Arial" w:eastAsia="Arial" w:hAnsi="Arial"/>
          <w:sz w:val="24"/>
          <w:szCs w:val="24"/>
        </w:rPr>
        <w:t xml:space="preserve">- выдачу беспроцентных ссуд работникам Агентства на приобретение, строительство, расширение и ремонт жилья;</w:t>
      </w:r>
    </w:p>
    <w:p>
      <w:pPr>
        <w:spacing w:after="120"/>
        <w:jc w:val="both"/>
      </w:pPr>
      <w:r>
        <w:rPr>
          <w:rFonts w:ascii="Arial" w:cs="Arial" w:eastAsia="Arial" w:hAnsi="Arial"/>
          <w:sz w:val="24"/>
          <w:szCs w:val="24"/>
        </w:rPr>
        <w:t xml:space="preserve">- организацию встреч иностранных гостей, оплату командировочных расходов при выезде за границу по обмену опытом работы и на повышение квалификации, а также другие расходы, не предусмотренные сметой;</w:t>
      </w:r>
    </w:p>
    <w:p>
      <w:pPr>
        <w:spacing w:after="120"/>
        <w:jc w:val="both"/>
      </w:pPr>
      <w:r>
        <w:rPr>
          <w:rFonts w:ascii="Arial" w:cs="Arial" w:eastAsia="Arial" w:hAnsi="Arial"/>
          <w:sz w:val="24"/>
          <w:szCs w:val="24"/>
        </w:rPr>
        <w:t xml:space="preserve">- оказание материальной помощи в связи с заключением брака и рождением ребенка, юбилейными датами работников и по случаю смерти близких родственников;</w:t>
      </w:r>
    </w:p>
    <w:p>
      <w:pPr>
        <w:spacing w:after="120"/>
        <w:jc w:val="both"/>
      </w:pPr>
      <w:r>
        <w:rPr>
          <w:rFonts w:ascii="Arial" w:cs="Arial" w:eastAsia="Arial" w:hAnsi="Arial"/>
          <w:sz w:val="24"/>
          <w:szCs w:val="24"/>
        </w:rPr>
        <w:t xml:space="preserve">- выполнение непредвиденных хозяйственных работ по трудовым и гражданско-правовым договорам;</w:t>
      </w:r>
    </w:p>
    <w:p>
      <w:pPr>
        <w:spacing w:after="120"/>
        <w:jc w:val="both"/>
      </w:pPr>
      <w:r>
        <w:rPr>
          <w:rFonts w:ascii="Arial" w:cs="Arial" w:eastAsia="Arial" w:hAnsi="Arial"/>
          <w:sz w:val="24"/>
          <w:szCs w:val="24"/>
        </w:rPr>
        <w:t xml:space="preserve">- материально-техническое обеспечение деятельности Агентства и улучшение бытовых условий работников центрального аппарата Агентства;</w:t>
      </w:r>
    </w:p>
    <w:p>
      <w:pPr>
        <w:spacing w:after="120"/>
        <w:jc w:val="both"/>
      </w:pPr>
      <w:r>
        <w:rPr>
          <w:rFonts w:ascii="Arial" w:cs="Arial" w:eastAsia="Arial" w:hAnsi="Arial"/>
          <w:sz w:val="24"/>
          <w:szCs w:val="24"/>
        </w:rPr>
        <w:t xml:space="preserve">- оплату организационных расходов по подготовке и проведению конкурсов и аукционов на право пользования недрами, в том числе расходов на оплату информационных, почтовых, транспортных расходов, расходов на оплату консультационных и иных услуг;</w:t>
      </w:r>
    </w:p>
    <w:p>
      <w:pPr>
        <w:spacing w:after="120"/>
        <w:jc w:val="both"/>
      </w:pPr>
      <w:r>
        <w:rPr>
          <w:rFonts w:ascii="Arial" w:cs="Arial" w:eastAsia="Arial" w:hAnsi="Arial"/>
          <w:sz w:val="24"/>
          <w:szCs w:val="24"/>
        </w:rPr>
        <w:t xml:space="preserve">- обучение сотрудников Агентства в вузах по горно-геологическим направлениям без отрыва от производства;</w:t>
      </w:r>
    </w:p>
    <w:p>
      <w:pPr>
        <w:spacing w:after="120"/>
        <w:jc w:val="both"/>
      </w:pPr>
      <w:r>
        <w:rPr>
          <w:rFonts w:ascii="Arial" w:cs="Arial" w:eastAsia="Arial" w:hAnsi="Arial"/>
          <w:sz w:val="24"/>
          <w:szCs w:val="24"/>
        </w:rPr>
        <w:t xml:space="preserve">- организацию конференций и семинаров по вопросам деятельности Агентства;</w:t>
      </w:r>
    </w:p>
    <w:p>
      <w:pPr>
        <w:spacing w:after="120"/>
        <w:jc w:val="both"/>
      </w:pPr>
      <w:r>
        <w:rPr>
          <w:rFonts w:ascii="Arial" w:cs="Arial" w:eastAsia="Arial" w:hAnsi="Arial"/>
          <w:sz w:val="24"/>
          <w:szCs w:val="24"/>
        </w:rPr>
        <w:t xml:space="preserve">- оказание возмездной финансовой помощи подведомственным подразделениям и предприятиям Комитета, а также на другие мероприятия, направленные на улучшение их деятельности.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uxqzp-iuvctlrinbslare">
        <w:r>
          <w:rPr>
            <w:rFonts w:ascii="Arial" w:cs="Arial" w:eastAsia="Arial" w:hAnsi="Arial"/>
            <w:i/>
            <w:iCs/>
            <w:color w:val="1D4ED8"/>
            <w:sz w:val="24"/>
            <w:szCs w:val="24"/>
            <w:u w:val="single"/>
          </w:rPr>
          <w:t xml:space="preserve">30 декабря 2016 года № 714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9. Средства Специального счета, предназначенные в соответствии с законодательством Кыргызской Республики для развития минерально-сырьевой базы Кыргызской Республики, используются на:</w:t>
      </w:r>
    </w:p>
    <w:p>
      <w:pPr>
        <w:spacing w:after="120"/>
        <w:jc w:val="both"/>
      </w:pPr>
      <w:r>
        <w:rPr>
          <w:rFonts w:ascii="Arial" w:cs="Arial" w:eastAsia="Arial" w:hAnsi="Arial"/>
          <w:sz w:val="24"/>
          <w:szCs w:val="24"/>
        </w:rPr>
        <w:t xml:space="preserve">-финансирование проведения комплекса геолого-поисковых работ (в том числе аналитических, методических и тематических работ) подведомственными предприятиями;</w:t>
      </w:r>
    </w:p>
    <w:p>
      <w:pPr>
        <w:spacing w:after="120"/>
        <w:jc w:val="both"/>
      </w:pPr>
      <w:r>
        <w:rPr>
          <w:rFonts w:ascii="Arial" w:cs="Arial" w:eastAsia="Arial" w:hAnsi="Arial"/>
          <w:sz w:val="24"/>
          <w:szCs w:val="24"/>
        </w:rPr>
        <w:t xml:space="preserve">- финансирование проведения комплекса геологоразведочных работ (в том числе аналитических, методических и тематических работ) подведомственными предприятиями;</w:t>
      </w:r>
    </w:p>
    <w:p>
      <w:pPr>
        <w:spacing w:after="120"/>
        <w:jc w:val="both"/>
      </w:pPr>
      <w:r>
        <w:rPr>
          <w:rFonts w:ascii="Arial" w:cs="Arial" w:eastAsia="Arial" w:hAnsi="Arial"/>
          <w:sz w:val="24"/>
          <w:szCs w:val="24"/>
        </w:rPr>
        <w:t xml:space="preserve">- финансирование проведения гидрогеологических, инженерно-геологических и других специализированных работ подведомственными предприятиями;</w:t>
      </w:r>
    </w:p>
    <w:p>
      <w:pPr>
        <w:spacing w:after="120"/>
        <w:jc w:val="both"/>
      </w:pPr>
      <w:r>
        <w:rPr>
          <w:rFonts w:ascii="Arial" w:cs="Arial" w:eastAsia="Arial" w:hAnsi="Arial"/>
          <w:sz w:val="24"/>
          <w:szCs w:val="24"/>
        </w:rPr>
        <w:t xml:space="preserve">- приобретение основных средств для проведения комплекса поисковых, геологоразведочных, гидрогеологических, инженерно-геологических и других специализированных работ для подведомственных предприятий Комитета</w:t>
      </w:r>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zvb6b-omgjfo5myzleips">
        <w:r>
          <w:rPr>
            <w:rFonts w:ascii="Arial" w:cs="Arial" w:eastAsia="Arial" w:hAnsi="Arial"/>
            <w:i/>
            <w:iCs/>
            <w:color w:val="1D4ED8"/>
            <w:sz w:val="24"/>
            <w:szCs w:val="24"/>
            <w:u w:val="single"/>
          </w:rPr>
          <w:t xml:space="preserve">30 декабря 2016 года № 714</w:t>
        </w:r>
      </w:hyperlink>
      <w:r>
        <w:rPr>
          <w:rFonts w:ascii="Arial" w:cs="Arial" w:eastAsia="Arial" w:hAnsi="Arial"/>
          <w:i/>
          <w:iCs/>
          <w:sz w:val="24"/>
          <w:szCs w:val="24"/>
        </w:rPr>
        <w:t xml:space="preserve">, </w:t>
      </w:r>
      <w:hyperlink w:history="1" r:id="rIdyhetaxv4cvajhclzuo8n8">
        <w:r>
          <w:rPr>
            <w:rFonts w:ascii="Arial" w:cs="Arial" w:eastAsia="Arial" w:hAnsi="Arial"/>
            <w:i/>
            <w:iCs/>
            <w:color w:val="1D4ED8"/>
            <w:sz w:val="24"/>
            <w:szCs w:val="24"/>
            <w:u w:val="single"/>
          </w:rPr>
          <w:t xml:space="preserve">31 июля 2017 года № 454</w:t>
        </w:r>
      </w:hyperlink>
      <w:r>
        <w:rPr>
          <w:rFonts w:ascii="Arial" w:cs="Arial" w:eastAsia="Arial" w:hAnsi="Arial"/>
          <w:sz w:val="24"/>
          <w:szCs w:val="24"/>
        </w:rPr>
        <w:t xml:space="preserve">, </w:t>
      </w:r>
      <w:hyperlink w:history="1" r:id="rIdkpwjhf4ihe0_ieucwmdko">
        <w:r>
          <w:rPr>
            <w:rFonts w:ascii="Arial" w:cs="Arial" w:eastAsia="Arial" w:hAnsi="Arial"/>
            <w:i/>
            <w:iCs/>
            <w:color w:val="1D4ED8"/>
            <w:sz w:val="24"/>
            <w:szCs w:val="24"/>
            <w:u w:val="single"/>
          </w:rPr>
          <w:t xml:space="preserve">17 января 2018 года № 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Средства Специального счета, поступающие от оказания платных услуг за доступ (пользование) к геологическим информационным ресурсам, используются на развитие Государственного геологического информационного фонда, в том числе на:</w:t>
      </w:r>
    </w:p>
    <w:p>
      <w:pPr>
        <w:spacing w:after="120"/>
        <w:jc w:val="both"/>
      </w:pPr>
      <w:r>
        <w:rPr>
          <w:rFonts w:ascii="Arial" w:cs="Arial" w:eastAsia="Arial" w:hAnsi="Arial"/>
          <w:sz w:val="24"/>
          <w:szCs w:val="24"/>
        </w:rPr>
        <w:t xml:space="preserve">- приобретение оборудования, необходимого для обработки, хранения и пользования геологическими информационными ресурсами;</w:t>
      </w:r>
    </w:p>
    <w:p>
      <w:pPr>
        <w:spacing w:after="120"/>
        <w:jc w:val="both"/>
      </w:pPr>
      <w:r>
        <w:rPr>
          <w:rFonts w:ascii="Arial" w:cs="Arial" w:eastAsia="Arial" w:hAnsi="Arial"/>
          <w:sz w:val="24"/>
          <w:szCs w:val="24"/>
        </w:rPr>
        <w:t xml:space="preserve">- приобретение, ремонт, оснащение и охрану помещений Государственного геологического информационного фонда;</w:t>
      </w:r>
    </w:p>
    <w:p>
      <w:pPr>
        <w:spacing w:after="120"/>
        <w:jc w:val="both"/>
      </w:pPr>
      <w:r>
        <w:rPr>
          <w:rFonts w:ascii="Arial" w:cs="Arial" w:eastAsia="Arial" w:hAnsi="Arial"/>
          <w:sz w:val="24"/>
          <w:szCs w:val="24"/>
        </w:rPr>
        <w:t xml:space="preserve">- доплаты работникам центрального аппарата Агентства, его подведомственных подразделений и предприятий;</w:t>
      </w:r>
    </w:p>
    <w:p>
      <w:pPr>
        <w:spacing w:after="120"/>
        <w:jc w:val="both"/>
      </w:pPr>
      <w:r>
        <w:rPr>
          <w:rFonts w:ascii="Arial" w:cs="Arial" w:eastAsia="Arial" w:hAnsi="Arial"/>
          <w:sz w:val="24"/>
          <w:szCs w:val="24"/>
        </w:rPr>
        <w:t xml:space="preserve">- иные расходы, связанные с развитием и популяризацией геологической науки.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zlm2depnootznwgvz23y">
        <w:r>
          <w:rPr>
            <w:rFonts w:ascii="Arial" w:cs="Arial" w:eastAsia="Arial" w:hAnsi="Arial"/>
            <w:i/>
            <w:iCs/>
            <w:color w:val="1D4ED8"/>
            <w:sz w:val="24"/>
            <w:szCs w:val="24"/>
            <w:u w:val="single"/>
          </w:rPr>
          <w:t xml:space="preserve">30 декабря 2016 года № 714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Агентство планирует, ведет учет поступления и распределения средств Специального счета и представляет отчетность об их использовании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12. Средства Специального счета используются в строгом соответствии со статьями расходов, предусмотренными бюджетной классификацией.</w:t>
      </w:r>
    </w:p>
    <w:p>
      <w:pPr>
        <w:spacing w:after="120"/>
        <w:jc w:val="both"/>
      </w:pPr>
      <w:r>
        <w:rPr>
          <w:rFonts w:ascii="Arial" w:cs="Arial" w:eastAsia="Arial" w:hAnsi="Arial"/>
          <w:sz w:val="24"/>
          <w:szCs w:val="24"/>
        </w:rPr>
        <w:t xml:space="preserve">13. Средства Специального счета аккумулируются на Специальном счете Агентства.</w:t>
      </w:r>
    </w:p>
    <w:p>
      <w:pPr>
        <w:spacing w:after="120"/>
        <w:jc w:val="both"/>
      </w:pPr>
      <w:r>
        <w:rPr>
          <w:rFonts w:ascii="Arial" w:cs="Arial" w:eastAsia="Arial" w:hAnsi="Arial"/>
          <w:sz w:val="24"/>
          <w:szCs w:val="24"/>
        </w:rPr>
        <w:t xml:space="preserve">14. Расходование средств Специального счета до утверждения сметы расходов не допускается и осуществляется только в пределах утвержденной сметы.</w:t>
      </w:r>
    </w:p>
    <w:p>
      <w:pPr>
        <w:spacing w:after="120"/>
        <w:jc w:val="both"/>
      </w:pPr>
      <w:r>
        <w:rPr>
          <w:rFonts w:ascii="Arial" w:cs="Arial" w:eastAsia="Arial" w:hAnsi="Arial"/>
          <w:sz w:val="24"/>
          <w:szCs w:val="24"/>
        </w:rPr>
        <w:t xml:space="preserve">15. Остатки средств Специального счета, образовавшиеся к концу отчетного года, регулируются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l1iktbzt9ma2d-xlya0n" Type="http://schemas.openxmlformats.org/officeDocument/2006/relationships/hyperlink" Target="http://kodeks.duckdns.org/document/99440" TargetMode="External"/><Relationship Id="rIdlbdtoaabewkutfravaqkx" Type="http://schemas.openxmlformats.org/officeDocument/2006/relationships/hyperlink" Target="http://kodeks.duckdns.org/document/99445" TargetMode="External"/><Relationship Id="rIdfj_upjwausxxctjdjz4qi" Type="http://schemas.openxmlformats.org/officeDocument/2006/relationships/hyperlink" Target="http://kodeks.duckdns.org/document/99705" TargetMode="External"/><Relationship Id="rId7mfqiplbdz9abrk9detjf" Type="http://schemas.openxmlformats.org/officeDocument/2006/relationships/hyperlink" Target="http://kodeks.duckdns.org/document/100178" TargetMode="External"/><Relationship Id="rId3uiiqj8jxvf753khxliwh" Type="http://schemas.openxmlformats.org/officeDocument/2006/relationships/hyperlink" Target="http://kodeks.duckdns.org/document/11903" TargetMode="External"/><Relationship Id="rIdlt-dnhwvdli3qduoalc4z" Type="http://schemas.openxmlformats.org/officeDocument/2006/relationships/hyperlink" Target="http://kodeks.duckdns.org/document/99445" TargetMode="External"/><Relationship Id="rIduxqzp-iuvctlrinbslare" Type="http://schemas.openxmlformats.org/officeDocument/2006/relationships/hyperlink" Target="http://kodeks.duckdns.org/document/99705" TargetMode="External"/><Relationship Id="rIdzvb6b-omgjfo5myzleips" Type="http://schemas.openxmlformats.org/officeDocument/2006/relationships/hyperlink" Target="http://kodeks.duckdns.org/document/99705" TargetMode="External"/><Relationship Id="rIdyhetaxv4cvajhclzuo8n8" Type="http://schemas.openxmlformats.org/officeDocument/2006/relationships/hyperlink" Target="http://kodeks.duckdns.org/document/100178" TargetMode="External"/><Relationship Id="rIdkpwjhf4ihe0_ieucwmdko" Type="http://schemas.openxmlformats.org/officeDocument/2006/relationships/hyperlink" Target="http://kodeks.duckdns.org/document/11903" TargetMode="External"/><Relationship Id="rIdfzlm2depnootznwgvz23y" Type="http://schemas.openxmlformats.org/officeDocument/2006/relationships/hyperlink" Target="http://kodeks.duckdns.org/document/99705"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2026-09-23T11:51:13.154Z</dcterms:created>
  <dcterms:modified xsi:type="dcterms:W3CDTF">2026-09-23T11:51:13.154Z</dcterms:modified>
</cp:coreProperties>
</file>

<file path=docProps/custom.xml><?xml version="1.0" encoding="utf-8"?>
<Properties xmlns="http://schemas.openxmlformats.org/officeDocument/2006/custom-properties" xmlns:vt="http://schemas.openxmlformats.org/officeDocument/2006/docPropsVTypes"/>
</file>