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42ebf1kcax4s14ihejpo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сентября 2013 года № 477</w:t>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 "О внесении изменений и дополнений в некоторые законодательные акты Кыргызской Республики" и "О внесении дополнений и изменений в Кодекс Кыргызской Республики об административной ответственности"</w:t>
      </w:r>
    </w:p>
    <w:p>
      <w:pPr>
        <w:spacing w:after="120"/>
        <w:jc w:val="left"/>
      </w:pPr>
      <w:r>
        <w:rPr>
          <w:rFonts w:ascii="Arial" w:cs="Arial" w:eastAsia="Arial" w:hAnsi="Arial"/>
          <w:sz w:val="24"/>
          <w:szCs w:val="24"/>
        </w:rPr>
        <w:t xml:space="preserve">В соответствии со статьей 80 </w:t>
      </w:r>
      <w:hyperlink w:history="1" r:id="rIdqiach4uvlyzsadyh5zfg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pxzdve9abckxw3jp5nv6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Одобрить прилагаемое заключение Правительства Кыргызской Республики на проекты законов Кыргызской Республики "О внесении изменений и дополнений в некоторые законодательные акты Кыргызской Республики" и "О внесении дополнений и изменений в </w:t>
      </w:r>
      <w:hyperlink w:history="1" r:id="rIdjljy-svbwmm7vr2ea-ez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инициированные депутатом Жогорку Кенеша Кыргызской Республики Д.А.Ниязалиевой.</w:t>
      </w:r>
    </w:p>
    <w:p>
      <w:pPr>
        <w:spacing w:after="120"/>
        <w:jc w:val="left"/>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hyperlink w:history="1" r:id="rIdcim_eqk3imdgzspjuyly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проекты законов Кыргызской Республики "О внесении изменений и дополнений в некоторые законодательные акты Кыргызской Республики" и "О внесении дополнений и изменений в Кодекс Кыргызской Республики об административной ответственности"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Правительство Кыргызской Республики в соответствии со статьей 31 </w:t>
      </w:r>
      <w:hyperlink w:history="1" r:id="rIdippwtrqwm15mvpfuq_e1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проекты законов Кыргызской Республики "О внесении изменений и дополнений в некоторые законодательные акты Кыргызской Республики" и "О внесении дополнений и изменений в </w:t>
      </w:r>
      <w:hyperlink w:history="1" r:id="rIds0iwvvzkraazph6cipl2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приходит к следующему заключению.</w:t>
      </w:r>
    </w:p>
    <w:p>
      <w:pPr>
        <w:spacing w:after="120"/>
        <w:jc w:val="left"/>
      </w:pPr>
      <w:r>
        <w:rPr>
          <w:rFonts w:ascii="Arial" w:cs="Arial" w:eastAsia="Arial" w:hAnsi="Arial"/>
          <w:sz w:val="24"/>
          <w:szCs w:val="24"/>
        </w:rPr>
        <w:t xml:space="preserve">По проекту Закона Кыргызской Республики "О внесении изменений и дополнений в Закон Кыргызской Республики "Об обогащении муки хлебопекарной" (далее - законопроект).</w:t>
      </w:r>
    </w:p>
    <w:p>
      <w:pPr>
        <w:spacing w:after="120"/>
        <w:jc w:val="left"/>
      </w:pPr>
      <w:r>
        <w:rPr>
          <w:rFonts w:ascii="Arial" w:cs="Arial" w:eastAsia="Arial" w:hAnsi="Arial"/>
          <w:sz w:val="24"/>
          <w:szCs w:val="24"/>
        </w:rPr>
        <w:t xml:space="preserve">Абзацем вторым части 2 статьи 1 законопроекта предлагается установить, что государственный надзор за соблюдением требований технических регламентов (нормативных правовых актов и стандартов до вступления в силу технических регламентов) в отношении обогащенной муки хлебопекарной будет осуществляться уполномоченным государственным органом. Предлагаем уточнить, о каком уполномоченном государственном органе идет речь. Также, обращаем внимание, что согласно статье 104 </w:t>
      </w:r>
      <w:hyperlink w:history="1" r:id="rIdbbpgvd9wjjmbgs-wzlja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надзор за точным и единообразным исполнением законов органами исполнительной власти, органами местного самоуправления, их должностными лицами осуществляют органы прокуратуры.</w:t>
      </w:r>
    </w:p>
    <w:p>
      <w:pPr>
        <w:spacing w:after="120"/>
        <w:jc w:val="left"/>
      </w:pPr>
      <w:r>
        <w:rPr>
          <w:rFonts w:ascii="Arial" w:cs="Arial" w:eastAsia="Arial" w:hAnsi="Arial"/>
          <w:sz w:val="24"/>
          <w:szCs w:val="24"/>
        </w:rPr>
        <w:t xml:space="preserve">Абзац четвертый части 3 статьи 1 законопроекта предлагаем изложить в следующей редакции:</w:t>
      </w:r>
    </w:p>
    <w:p>
      <w:pPr>
        <w:spacing w:after="120"/>
        <w:jc w:val="left"/>
      </w:pPr>
      <w:r>
        <w:rPr>
          <w:rFonts w:ascii="Arial" w:cs="Arial" w:eastAsia="Arial" w:hAnsi="Arial"/>
          <w:sz w:val="24"/>
          <w:szCs w:val="24"/>
        </w:rPr>
        <w:t xml:space="preserve">"Импортируемая мука высшего и первого сорта должна соответствовать требованиям технических регламентов.".</w:t>
      </w:r>
    </w:p>
    <w:p>
      <w:pPr>
        <w:spacing w:after="120"/>
        <w:jc w:val="left"/>
      </w:pPr>
      <w:r>
        <w:rPr>
          <w:rFonts w:ascii="Arial" w:cs="Arial" w:eastAsia="Arial" w:hAnsi="Arial"/>
          <w:sz w:val="24"/>
          <w:szCs w:val="24"/>
        </w:rPr>
        <w:t xml:space="preserve">Данное предложение исходит из того, что с 17 февраля 2013 года вступил в силу Технический регламент "О безопасности обогащенной муки", утвержденный постановлением Правительства Кыргызской Республики от 16 августа 2012 года № 569. Кроме того, постановлением Правительства Кыргызской Республики от 9 апреля 2013 года № 184 утвержден Технический регламент "О безопасности продуктов мукомольно-крупяной промышленности".</w:t>
      </w:r>
    </w:p>
    <w:p>
      <w:pPr>
        <w:spacing w:after="120"/>
        <w:jc w:val="left"/>
      </w:pPr>
      <w:r>
        <w:rPr>
          <w:rFonts w:ascii="Arial" w:cs="Arial" w:eastAsia="Arial" w:hAnsi="Arial"/>
          <w:sz w:val="24"/>
          <w:szCs w:val="24"/>
        </w:rPr>
        <w:t xml:space="preserve">В связи с тем, что с 17 февраля 2013 года вступил в силу Технический регламент "О безопасности обогащенной муки", абзац пятый части 3 статьи 1 законопроекта предлагаем изложить в следующей редакции:</w:t>
      </w:r>
    </w:p>
    <w:p>
      <w:pPr>
        <w:spacing w:after="120"/>
        <w:jc w:val="left"/>
      </w:pPr>
      <w:r>
        <w:rPr>
          <w:rFonts w:ascii="Arial" w:cs="Arial" w:eastAsia="Arial" w:hAnsi="Arial"/>
          <w:sz w:val="24"/>
          <w:szCs w:val="24"/>
        </w:rPr>
        <w:t xml:space="preserve">"- часть 5 исключить.",</w:t>
      </w:r>
    </w:p>
    <w:p>
      <w:pPr>
        <w:spacing w:after="120"/>
        <w:jc w:val="left"/>
      </w:pPr>
      <w:r>
        <w:rPr>
          <w:rFonts w:ascii="Arial" w:cs="Arial" w:eastAsia="Arial" w:hAnsi="Arial"/>
          <w:sz w:val="24"/>
          <w:szCs w:val="24"/>
        </w:rPr>
        <w:t xml:space="preserve">По проекту Закона Кыргызской Республики "О внесении дополнений в </w:t>
      </w:r>
      <w:hyperlink w:history="1" r:id="rIdljz4rmqzr9v6n3wgwx80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w:t>
      </w:r>
    </w:p>
    <w:p>
      <w:pPr>
        <w:spacing w:after="120"/>
        <w:jc w:val="left"/>
      </w:pPr>
      <w:r>
        <w:rPr>
          <w:rFonts w:ascii="Arial" w:cs="Arial" w:eastAsia="Arial" w:hAnsi="Arial"/>
          <w:sz w:val="24"/>
          <w:szCs w:val="24"/>
        </w:rPr>
        <w:t xml:space="preserve">В соответствии с Соглашением об общей Товарной номенклатуре внешнеэкономической деятельности Евразийского экономического сообщества, подписанным 20 сентября 2002 года в городе Астана и ратифицированным Законом Кыргызской Республики от 13 декабря 2003 года № 231, для осуществления мер тарифного и нетарифного регулирования внешнеэкономической деятельности, совершенствования ведения статистического учета и обмена статистической информацией Кыргызстан согласился принять в качестве Товарной номенклатуры внешнеэкономической деятельности (далее - ТН ВЭД) Евразийского экономического сообщества десятизначную Товарную номенклатуру внешнеэкономической деятельности Российской Федерации, основанную на международных классификаторах - Гармонизированной системе описания и кодирования товаров Всемирной таможенной организации и единой Товарной номенклатуре внешнеэкономической деятельности Содружества Независимых Государств.</w:t>
      </w:r>
    </w:p>
    <w:p>
      <w:pPr>
        <w:spacing w:after="120"/>
        <w:jc w:val="left"/>
      </w:pPr>
      <w:r>
        <w:rPr>
          <w:rFonts w:ascii="Arial" w:cs="Arial" w:eastAsia="Arial" w:hAnsi="Arial"/>
          <w:sz w:val="24"/>
          <w:szCs w:val="24"/>
        </w:rPr>
        <w:t xml:space="preserve">Согласно данному Соглашению ведение ТН ВЭД Евразийского экономического сообщества осуществляет Федеральная таможенная служба Российской Федерации, которая в том числе:</w:t>
      </w:r>
    </w:p>
    <w:p>
      <w:pPr>
        <w:spacing w:after="120"/>
        <w:jc w:val="left"/>
      </w:pPr>
      <w:r>
        <w:rPr>
          <w:rFonts w:ascii="Arial" w:cs="Arial" w:eastAsia="Arial" w:hAnsi="Arial"/>
          <w:sz w:val="24"/>
          <w:szCs w:val="24"/>
        </w:rPr>
        <w:t xml:space="preserve">- приводит ТН ВЭД Евразийского экономического сообщества в соответствие с ее международной основой;</w:t>
      </w:r>
    </w:p>
    <w:p>
      <w:pPr>
        <w:spacing w:after="120"/>
        <w:jc w:val="left"/>
      </w:pPr>
      <w:r>
        <w:rPr>
          <w:rFonts w:ascii="Arial" w:cs="Arial" w:eastAsia="Arial" w:hAnsi="Arial"/>
          <w:sz w:val="24"/>
          <w:szCs w:val="24"/>
        </w:rPr>
        <w:t xml:space="preserve">- рассматривает и принимает решения о внесении изменений в ТН ВЭД Евразийского экономического сообщества на основании предложений таможенных служб государств-членов Евразийского экономического сообщества.</w:t>
      </w:r>
    </w:p>
    <w:p>
      <w:pPr>
        <w:spacing w:after="120"/>
        <w:jc w:val="left"/>
      </w:pPr>
      <w:r>
        <w:rPr>
          <w:rFonts w:ascii="Arial" w:cs="Arial" w:eastAsia="Arial" w:hAnsi="Arial"/>
          <w:sz w:val="24"/>
          <w:szCs w:val="24"/>
        </w:rPr>
        <w:t xml:space="preserve">В соответствии с названным Соглашением постановлением Правительства Кыргызской Республики от 10 октября 2007 года № 460 с 1 января 2008 года в Кыргызстане введена в действие общая ТН ВЭД Евразийского экономического сообщества, на основе ТН ВЭД СНГ.</w:t>
      </w:r>
    </w:p>
    <w:p>
      <w:pPr>
        <w:spacing w:after="120"/>
        <w:jc w:val="left"/>
      </w:pPr>
      <w:r>
        <w:rPr>
          <w:rFonts w:ascii="Arial" w:cs="Arial" w:eastAsia="Arial" w:hAnsi="Arial"/>
          <w:sz w:val="24"/>
          <w:szCs w:val="24"/>
        </w:rPr>
        <w:t xml:space="preserve">Решение о внесении изменений в общей ТН ВЭД ЕврАзЭС должно приниматься Федеральной таможенной службой Российской Федерации, ответственной за ведение ТН ВЭД ЕврАзЭС, на основании предложений таможенных служб государств-членов Евразийского экономического сообщества.</w:t>
      </w:r>
    </w:p>
    <w:p>
      <w:pPr>
        <w:spacing w:after="120"/>
        <w:jc w:val="left"/>
      </w:pPr>
      <w:r>
        <w:rPr>
          <w:rFonts w:ascii="Arial" w:cs="Arial" w:eastAsia="Arial" w:hAnsi="Arial"/>
          <w:sz w:val="24"/>
          <w:szCs w:val="24"/>
        </w:rPr>
        <w:t xml:space="preserve">Также информируем о том, что на 6-ом заседании Рабочей группы по вопросу присоединения Кыргызской Республики к Таможенному союзу Республики Беларусь, Республики Казахстан и Российской Федерации, Кыргызстану рекомендовано с 1 января 2014 года перейти на ТН ВЭД Таможенного союза. В настоящее время Министерством экономики Кыргызской Республики проводится работа в данном направлении.</w:t>
      </w:r>
    </w:p>
    <w:p>
      <w:pPr>
        <w:spacing w:after="120"/>
        <w:jc w:val="left"/>
      </w:pPr>
      <w:r>
        <w:rPr>
          <w:rFonts w:ascii="Arial" w:cs="Arial" w:eastAsia="Arial" w:hAnsi="Arial"/>
          <w:sz w:val="24"/>
          <w:szCs w:val="24"/>
        </w:rPr>
        <w:t xml:space="preserve">Кроме того, внесение изменений в ТН ВЭД, выделение в нем обогащенной муки отдельным кодом не будет способствовать достижению целей вышеназванного законопроекта. Как указано в справке-обосновании к законопроектам, более 95% муки импортируется в Кыргызстан из Республики Казахстан, в торговле с которым применяется режим свободной (беспошлинной) торговли. Пошлины, введенные на ввоз необогащенной муки в рамках </w:t>
      </w:r>
      <w:hyperlink w:history="1" r:id="rId2odkfdclhvreobfsjkj8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тарифе Кыргызской Республики", не будут распространяться на муку, страной происхождения которой является Казахстан.</w:t>
      </w:r>
    </w:p>
    <w:p>
      <w:pPr>
        <w:spacing w:after="120"/>
        <w:jc w:val="left"/>
      </w:pPr>
      <w:r>
        <w:rPr>
          <w:rFonts w:ascii="Arial" w:cs="Arial" w:eastAsia="Arial" w:hAnsi="Arial"/>
          <w:sz w:val="24"/>
          <w:szCs w:val="24"/>
        </w:rPr>
        <w:t xml:space="preserve">На основании вышеизложенного считаем нецелесообразным внесение дополнений в </w:t>
      </w:r>
      <w:hyperlink w:history="1" r:id="rIdqrgkfefrt5oab6kpxqhe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w:t>
      </w:r>
    </w:p>
    <w:p>
      <w:pPr>
        <w:spacing w:after="120"/>
        <w:jc w:val="left"/>
      </w:pPr>
      <w:r>
        <w:rPr>
          <w:rFonts w:ascii="Arial" w:cs="Arial" w:eastAsia="Arial" w:hAnsi="Arial"/>
          <w:sz w:val="24"/>
          <w:szCs w:val="24"/>
        </w:rPr>
        <w:t xml:space="preserve">По проекту Закона Кыргызской Республики "О внесении дополнений и изменений в </w:t>
      </w:r>
      <w:hyperlink w:history="1" r:id="rIddgio7uhst4vz8lzpwqzo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(далее - проект Закона).</w:t>
      </w:r>
    </w:p>
    <w:p>
      <w:pPr>
        <w:spacing w:after="120"/>
        <w:jc w:val="left"/>
      </w:pPr>
      <w:r>
        <w:rPr>
          <w:rFonts w:ascii="Arial" w:cs="Arial" w:eastAsia="Arial" w:hAnsi="Arial"/>
          <w:sz w:val="24"/>
          <w:szCs w:val="24"/>
        </w:rPr>
        <w:t xml:space="preserve">Частью 1 статьи 1 проекта Закона предусматривается установление ответственности за поставку необогащенной муки в учреждения здравоохранения, социальной защиты, образовательные организации и иные учреждения, а также за реализацию обогащенной муки.</w:t>
      </w:r>
    </w:p>
    <w:p>
      <w:pPr>
        <w:spacing w:after="120"/>
        <w:jc w:val="left"/>
      </w:pPr>
      <w:r>
        <w:rPr>
          <w:rFonts w:ascii="Arial" w:cs="Arial" w:eastAsia="Arial" w:hAnsi="Arial"/>
          <w:sz w:val="24"/>
          <w:szCs w:val="24"/>
        </w:rPr>
        <w:t xml:space="preserve">Вместе с тем, согласно поправкам, предусмотренным в проекте Закона Кыргызской Республики "О внесении изменений и дополнений в некоторые законодательные акты Кыргызской Республики", обязательному обогащению подлежит мука хлебопекарная только высшего и первого сортов. Кроме того, в абзаце третьем указанной части статьи 1 проекта Закона предлагаем определить, для каких субъектов устанавливается обозначенный штраф.</w:t>
      </w:r>
    </w:p>
    <w:p>
      <w:pPr>
        <w:spacing w:after="120"/>
        <w:jc w:val="left"/>
      </w:pPr>
      <w:r>
        <w:rPr>
          <w:rFonts w:ascii="Arial" w:cs="Arial" w:eastAsia="Arial" w:hAnsi="Arial"/>
          <w:sz w:val="24"/>
          <w:szCs w:val="24"/>
        </w:rPr>
        <w:t xml:space="preserve">Абзац четвертый части 1 статьи 1 проекта Закона предлагаем исключить, так как в соответствии с нормативными правовыми актами в области государственного надзора объекты мукомольной промышленности относятся к объектам средней или незначительной степени риска, проверки которых осуществляются 1 раз в 3-5 лет.</w:t>
      </w:r>
    </w:p>
    <w:p>
      <w:pPr>
        <w:spacing w:after="120"/>
        <w:jc w:val="left"/>
      </w:pPr>
      <w:r>
        <w:rPr>
          <w:rFonts w:ascii="Arial" w:cs="Arial" w:eastAsia="Arial" w:hAnsi="Arial"/>
          <w:sz w:val="24"/>
          <w:szCs w:val="24"/>
        </w:rPr>
        <w:t xml:space="preserve">Проектом Закона предусматривается установить, что административные комиссии местных государственных администраций, а также органы местного самоуправления вправе рассматривать определенные дела об административных правонарушениях лишь на основе договора о делегировании таковых полномочий Правительством Кыргызской Республики. В этой связи отмечаем, что согласно статье 506 Кодекса Кыргызской Республики об административной ответственности дела об административных правонарушениях рассматриваются, в том числе, административными комиссиями городских, районных государственных организаций и органами местного самоуправления. Кроме того, согласно статье 113 </w:t>
      </w:r>
      <w:hyperlink w:history="1" r:id="rIdsnu9ejyo-r7yv15a_0jw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государственные полномочия могут быть переданы органам местного самоуправления на основании закона или договора.</w:t>
      </w:r>
    </w:p>
    <w:p>
      <w:pPr>
        <w:spacing w:after="120"/>
        <w:jc w:val="left"/>
      </w:pPr>
      <w:r>
        <w:rPr>
          <w:rFonts w:ascii="Arial" w:cs="Arial" w:eastAsia="Arial" w:hAnsi="Arial"/>
          <w:sz w:val="24"/>
          <w:szCs w:val="24"/>
        </w:rPr>
        <w:t xml:space="preserve">Дополнительно, по части 3 статьи 1 проекта Закона Кыргызской Республики "О внесении изменений и дополнений в некоторые законодательные акты Кыргызской Республики" и части 1 статьи 1 проекта Закона Кыргызской Республики "О внесении дополнений и изменений в </w:t>
      </w:r>
      <w:hyperlink w:history="1" r:id="rId8k8st1fd0bigeuetyc3l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сообщаем, что согласно статье 12 Закона Кыргызской Республики "О нормативных правовых актах Кыргызской Республики" недопустимо изменять нумерацию частей, разделов, глав, статей (пунктов) нормативного правового акта при внесении в него изменений и (или) дополнений и признании утратившими силу структурных элементов нормативного правового акта.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jdlkukbprvmqee7tidy">
      <w:r>
        <w:rPr>
          <w:rFonts w:ascii="Arial" w:cs="Arial" w:eastAsia="Arial" w:hAnsi="Arial"/>
          <w:color w:val="132D3F"/>
          <w:sz w:val="16"/>
          <w:szCs w:val="16"/>
          <w:u w:val="single"/>
        </w:rPr>
        <w:t xml:space="preserve">dalil.kg/document/99677</w:t>
      </w:r>
    </w:hyperlink>
  </w:p>
  <w:p>
    <w:pPr>
      <w:spacing w:after="0" w:before="40"/>
      <w:jc w:val="center"/>
    </w:pPr>
    <w:hyperlink w:history="1" r:id="rId7trlsublyxkore77sgrh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2ebf1kcax4s14ihejpou" Type="http://schemas.openxmlformats.org/officeDocument/2006/relationships/hyperlink" Target="https://dalil.kg/document/159126" TargetMode="External"/><Relationship Id="rIdqiach4uvlyzsadyh5zfgn" Type="http://schemas.openxmlformats.org/officeDocument/2006/relationships/hyperlink" Target="https://dalil.kg/document/202913" TargetMode="External"/><Relationship Id="rIdpxzdve9abckxw3jp5nv6u" Type="http://schemas.openxmlformats.org/officeDocument/2006/relationships/hyperlink" Target="https://dalil.kg/document/203685" TargetMode="External"/><Relationship Id="rIdjljy-svbwmm7vr2ea-ezp" Type="http://schemas.openxmlformats.org/officeDocument/2006/relationships/hyperlink" Target="https://dalil.kg/document/6" TargetMode="External"/><Relationship Id="rIdcim_eqk3imdgzspjuylyn" Type="http://schemas.openxmlformats.org/officeDocument/2006/relationships/hyperlink" Target="https://dalil.kg/document/99677" TargetMode="External"/><Relationship Id="rIdippwtrqwm15mvpfuq_e1v" Type="http://schemas.openxmlformats.org/officeDocument/2006/relationships/hyperlink" Target="https://dalil.kg/document/203685" TargetMode="External"/><Relationship Id="rIds0iwvvzkraazph6cipl2t" Type="http://schemas.openxmlformats.org/officeDocument/2006/relationships/hyperlink" Target="https://dalil.kg/document/6" TargetMode="External"/><Relationship Id="rIdbbpgvd9wjjmbgs-wzljaq" Type="http://schemas.openxmlformats.org/officeDocument/2006/relationships/hyperlink" Target="https://dalil.kg/document/202913" TargetMode="External"/><Relationship Id="rIdljz4rmqzr9v6n3wgwx80s" Type="http://schemas.openxmlformats.org/officeDocument/2006/relationships/hyperlink" Target="https://dalil.kg/document/1871" TargetMode="External"/><Relationship Id="rId2odkfdclhvreobfsjkj8m" Type="http://schemas.openxmlformats.org/officeDocument/2006/relationships/hyperlink" Target="https://dalil.kg/document/1871" TargetMode="External"/><Relationship Id="rIdqrgkfefrt5oab6kpxqhep" Type="http://schemas.openxmlformats.org/officeDocument/2006/relationships/hyperlink" Target="https://dalil.kg/document/1871" TargetMode="External"/><Relationship Id="rIddgio7uhst4vz8lzpwqzol" Type="http://schemas.openxmlformats.org/officeDocument/2006/relationships/hyperlink" Target="https://dalil.kg/document/6" TargetMode="External"/><Relationship Id="rIdsnu9ejyo-r7yv15a_0jwo" Type="http://schemas.openxmlformats.org/officeDocument/2006/relationships/hyperlink" Target="https://dalil.kg/document/202913" TargetMode="External"/><Relationship Id="rId8k8st1fd0bigeuetyc3lk"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jdlkukbprvmqee7tidy" Type="http://schemas.openxmlformats.org/officeDocument/2006/relationships/hyperlink" Target="https://dalil.kg/document/99677" TargetMode="External"/><Relationship Id="rId7trlsublyxkore77sgrh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2026-09-24T02:24:00.967Z</dcterms:created>
  <dcterms:modified xsi:type="dcterms:W3CDTF">2026-09-24T02:24:00.968Z</dcterms:modified>
</cp:coreProperties>
</file>

<file path=docProps/custom.xml><?xml version="1.0" encoding="utf-8"?>
<Properties xmlns="http://schemas.openxmlformats.org/officeDocument/2006/custom-properties" xmlns:vt="http://schemas.openxmlformats.org/officeDocument/2006/docPropsVTypes"/>
</file>