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qsoany8lnsrlnpwawa8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мая 2018 года № 249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мая 2017 года № 262</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2017/2018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v0stw_m2jrfivk3btvr">
        <w:r>
          <w:rPr>
            <w:rFonts w:ascii="Arial" w:cs="Arial" w:eastAsia="Arial" w:hAnsi="Arial"/>
            <w:color w:val="1D4ED8"/>
            <w:sz w:val="24"/>
            <w:szCs w:val="24"/>
            <w:u w:val="single"/>
          </w:rPr>
          <w:t xml:space="preserve">18 июля 2017 года № 434</w:t>
        </w:r>
      </w:hyperlink>
      <w:r>
        <w:rPr>
          <w:rFonts w:ascii="Arial" w:cs="Arial" w:eastAsia="Arial" w:hAnsi="Arial"/>
          <w:i w:val="false"/>
          <w:iCs w:val="false"/>
          <w:sz w:val="24"/>
          <w:szCs w:val="24"/>
        </w:rPr>
        <w:t xml:space="preserve">, </w:t>
      </w:r>
      <w:hyperlink w:history="1" r:id="rIdxxybm_gne1edsyu_8_-cg">
        <w:r>
          <w:rPr>
            <w:rFonts w:ascii="Arial" w:cs="Arial" w:eastAsia="Arial" w:hAnsi="Arial"/>
            <w:color w:val="1D4ED8"/>
            <w:sz w:val="24"/>
            <w:szCs w:val="24"/>
            <w:u w:val="single"/>
          </w:rPr>
          <w:t xml:space="preserve">10 октября 2017 года № 657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2017/2018 года, в соответствии со статьями 10 и 17 </w:t>
      </w:r>
      <w:hyperlink w:history="1" r:id="rIdqfxzs_wd-2ads0ouzr-9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both"/>
      </w:pPr>
      <w:r>
        <w:rPr>
          <w:rFonts w:ascii="Arial" w:cs="Arial" w:eastAsia="Arial" w:hAnsi="Arial"/>
          <w:sz w:val="24"/>
          <w:szCs w:val="24"/>
        </w:rPr>
        <w:t xml:space="preserve">                                                                                                                               ПОСТАНОВЛЯЕТ:</w:t>
      </w:r>
    </w:p>
    <w:p>
      <w:pPr>
        <w:spacing w:after="120"/>
        <w:jc w:val="both"/>
      </w:pPr>
      <w:r>
        <w:rPr>
          <w:rFonts w:ascii="Arial" w:cs="Arial" w:eastAsia="Arial" w:hAnsi="Arial"/>
          <w:sz w:val="24"/>
          <w:szCs w:val="24"/>
        </w:rPr>
        <w:t xml:space="preserve">1. Утвердить </w:t>
      </w:r>
      <w:hyperlink w:history="1" r:id="rIdoz7cg-bkmruggsancey-x">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2017/2018 года (далее - План мероприятий) согласно приложению 1.</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(далее - ОсОО) "Газпром Кыргызстан"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sz w:val="24"/>
          <w:szCs w:val="24"/>
        </w:rPr>
        <w:t xml:space="preserve">- в срок до 1 июля 2017 года принять меры по проведению конкурсов на закупку топлива для бюджетных организаций, заключить с ними договоры;</w:t>
      </w:r>
    </w:p>
    <w:p>
      <w:pPr>
        <w:spacing w:after="120"/>
        <w:jc w:val="both"/>
      </w:pPr>
      <w:r>
        <w:rPr>
          <w:rFonts w:ascii="Arial" w:cs="Arial" w:eastAsia="Arial" w:hAnsi="Arial"/>
          <w:sz w:val="24"/>
          <w:szCs w:val="24"/>
        </w:rPr>
        <w:t xml:space="preserve">- в срок до 1 июля 2017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 на производственно-технологические нужды;</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поставку угля, выполнении плановых заданий по заготовке топлива, создании топливных баз и пунктов реализации угля, с указанием цен на уголь.</w:t>
      </w:r>
    </w:p>
    <w:p>
      <w:pPr>
        <w:spacing w:after="120"/>
        <w:jc w:val="both"/>
      </w:pPr>
      <w:r>
        <w:rPr>
          <w:rFonts w:ascii="Arial" w:cs="Arial" w:eastAsia="Arial" w:hAnsi="Arial"/>
          <w:sz w:val="24"/>
          <w:szCs w:val="24"/>
        </w:rPr>
        <w:t xml:space="preserve">3. В соответствии с частью 2 статьи 27 </w:t>
      </w:r>
      <w:hyperlink w:history="1" r:id="rIdn_vhz_szqpjyod-xskg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2017/2018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maisjolkkgjxi79rcmx">
        <w:r>
          <w:rPr>
            <w:rFonts w:ascii="Arial" w:cs="Arial" w:eastAsia="Arial" w:hAnsi="Arial"/>
            <w:i/>
            <w:iCs/>
            <w:color w:val="1D4ED8"/>
            <w:sz w:val="24"/>
            <w:szCs w:val="24"/>
            <w:u w:val="single"/>
          </w:rPr>
          <w:t xml:space="preserve">18 июля 2017 года № 434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июня 2017 года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июня 2017 года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120"/>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сдерживании роста цен.</w:t>
      </w:r>
    </w:p>
    <w:p>
      <w:pPr>
        <w:spacing w:after="120"/>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анализов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120"/>
        <w:jc w:val="both"/>
      </w:pPr>
      <w:r>
        <w:rPr>
          <w:rFonts w:ascii="Arial" w:cs="Arial" w:eastAsia="Arial" w:hAnsi="Arial"/>
          <w:sz w:val="24"/>
          <w:szCs w:val="24"/>
        </w:rPr>
        <w:t xml:space="preserve">7. Министерству финансов Кыргызской Республики обеспечить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2017 году в пределах средств, предусмотренных </w:t>
      </w:r>
      <w:hyperlink w:history="1" r:id="rIdclkjthpsdu5imzlwpomj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2017 год и прогнозе на 2018-2019 годы".</w:t>
      </w:r>
    </w:p>
    <w:p>
      <w:pPr>
        <w:spacing w:after="120"/>
        <w:jc w:val="both"/>
      </w:pPr>
      <w:r>
        <w:rPr>
          <w:rFonts w:ascii="Arial" w:cs="Arial" w:eastAsia="Arial" w:hAnsi="Arial"/>
          <w:sz w:val="24"/>
          <w:szCs w:val="24"/>
        </w:rPr>
        <w:t xml:space="preserve">8. Рекомендовать органам местного самоуправления городов Кызыл-Кия Баткенской области, Таш-Кумыр и Кара-Куль Джалал-Абадской области в срок до 1 октября 2017 года в установленном порядке принять на баланс котельные и объекты коммунально-бытового хозяйства указанных городов, находящиеся на балансе ОАО "Электрические станции".</w:t>
      </w:r>
    </w:p>
    <w:p>
      <w:pPr>
        <w:spacing w:after="120"/>
        <w:jc w:val="both"/>
      </w:pPr>
      <w:r>
        <w:rPr>
          <w:rFonts w:ascii="Arial" w:cs="Arial" w:eastAsia="Arial" w:hAnsi="Arial"/>
          <w:sz w:val="24"/>
          <w:szCs w:val="24"/>
        </w:rPr>
        <w:t xml:space="preserve">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10. Возложить персональную ответственность:</w:t>
      </w:r>
    </w:p>
    <w:p>
      <w:pPr>
        <w:spacing w:after="120"/>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120"/>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120"/>
        <w:jc w:val="both"/>
      </w:pPr>
      <w:r>
        <w:rPr>
          <w:rFonts w:ascii="Arial" w:cs="Arial" w:eastAsia="Arial" w:hAnsi="Arial"/>
          <w:sz w:val="24"/>
          <w:szCs w:val="24"/>
        </w:rPr>
        <w:t xml:space="preserve">11.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12.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sz w:val="24"/>
          <w:szCs w:val="24"/>
        </w:rPr>
        <w:t xml:space="preserve">13. В целях утилизации угля с повышенным радиационным фоном с Куланского месторождения Республики Казахстан, находящегося на территории ТЭЦ города Бишкек:</w:t>
      </w:r>
    </w:p>
    <w:p>
      <w:pPr>
        <w:spacing w:after="120"/>
        <w:jc w:val="both"/>
      </w:pPr>
      <w:r>
        <w:rPr>
          <w:rFonts w:ascii="Arial" w:cs="Arial" w:eastAsia="Arial" w:hAnsi="Arial"/>
          <w:sz w:val="24"/>
          <w:szCs w:val="24"/>
        </w:rPr>
        <w:t xml:space="preserve">- Министерству чрезвычайных ситуаций Кыргызской Республики организовать транспортировку угля с повышенным радиационным фоном с территории ТЭЦ города Бишкек и в срок до 1 июля 2017 года провести мероприятия по захоронению данного угля на участке, выделенном ОАО "Кара-Балтинский горнорудный комбинат" (по согласованию);</w:t>
      </w:r>
    </w:p>
    <w:p>
      <w:pPr>
        <w:spacing w:after="120"/>
        <w:jc w:val="both"/>
      </w:pPr>
      <w:r>
        <w:rPr>
          <w:rFonts w:ascii="Arial" w:cs="Arial" w:eastAsia="Arial" w:hAnsi="Arial"/>
          <w:sz w:val="24"/>
          <w:szCs w:val="24"/>
        </w:rPr>
        <w:t xml:space="preserve">- Государственному агентству охраны окружающей среды и лесного хозяйства при Правительстве Кыргызской Республики совместно с Министерством чрезвычайных ситуаций Кыргызской Республики в срок до 1 июня 2017 года решить вопросы:</w:t>
      </w:r>
    </w:p>
    <w:p>
      <w:pPr>
        <w:spacing w:after="120"/>
        <w:jc w:val="both"/>
      </w:pPr>
      <w:r>
        <w:rPr>
          <w:rFonts w:ascii="Arial" w:cs="Arial" w:eastAsia="Arial" w:hAnsi="Arial"/>
          <w:sz w:val="24"/>
          <w:szCs w:val="24"/>
        </w:rPr>
        <w:t xml:space="preserve">выдачи лицензии Государственному учреждению "Северный Центр по реагированию на чрезвычайные ситуации Министерства чрезвычайных ситуаций Кыргызской Республики", необходимой для осуществления перевозки угля с повышенным радиационным фоном;</w:t>
      </w:r>
    </w:p>
    <w:p>
      <w:pPr>
        <w:spacing w:after="120"/>
        <w:jc w:val="both"/>
      </w:pPr>
      <w:r>
        <w:rPr>
          <w:rFonts w:ascii="Arial" w:cs="Arial" w:eastAsia="Arial" w:hAnsi="Arial"/>
          <w:sz w:val="24"/>
          <w:szCs w:val="24"/>
        </w:rPr>
        <w:t xml:space="preserve">финансирования мероприятий по осуществлению загрузки, перевозки, захоронения данного угля, хранящегося на ТЭЦ города Бишкек;</w:t>
      </w:r>
    </w:p>
    <w:p>
      <w:pPr>
        <w:spacing w:after="120"/>
        <w:jc w:val="both"/>
      </w:pPr>
      <w:r>
        <w:rPr>
          <w:rFonts w:ascii="Arial" w:cs="Arial" w:eastAsia="Arial" w:hAnsi="Arial"/>
          <w:sz w:val="24"/>
          <w:szCs w:val="24"/>
        </w:rPr>
        <w:t xml:space="preserve">дезактивации территории и автомобильной техники, привлеченной для захоронения угля с повышенным радиационным фоном, на участке, выделенном ОАО "Кара-Балтинский горнорудный комбинат";</w:t>
      </w:r>
    </w:p>
    <w:p>
      <w:pPr>
        <w:spacing w:after="120"/>
        <w:jc w:val="both"/>
      </w:pPr>
      <w:r>
        <w:rPr>
          <w:rFonts w:ascii="Arial" w:cs="Arial" w:eastAsia="Arial" w:hAnsi="Arial"/>
          <w:sz w:val="24"/>
          <w:szCs w:val="24"/>
        </w:rPr>
        <w:t xml:space="preserve">- рекомендовать ОАО "Кара-Балтинский горнорудный комбинат" в срок до 20 мая 2017 года выделить земельный участок для захоронения угля с повышенным радиационным фоном и принять его на хранение;</w:t>
      </w:r>
    </w:p>
    <w:p>
      <w:pPr>
        <w:spacing w:after="120"/>
        <w:jc w:val="both"/>
      </w:pPr>
      <w:r>
        <w:rPr>
          <w:rFonts w:ascii="Arial" w:cs="Arial" w:eastAsia="Arial" w:hAnsi="Arial"/>
          <w:sz w:val="24"/>
          <w:szCs w:val="24"/>
        </w:rPr>
        <w:t xml:space="preserve">- Министерству внутренних дел Кыргызской Республики по запросу Министерства чрезвычайных ситуаций Кыргызской Республики обеспечить сопровождение автомашин (колонну) с углем с повышенным радиационным от ТЭЦ города Бишкек до ОАО "Кара-Балтинский горнорудный комбинат";</w:t>
      </w:r>
    </w:p>
    <w:p>
      <w:pPr>
        <w:spacing w:after="120"/>
        <w:jc w:val="both"/>
      </w:pPr>
      <w:r>
        <w:rPr>
          <w:rFonts w:ascii="Arial" w:cs="Arial" w:eastAsia="Arial" w:hAnsi="Arial"/>
          <w:sz w:val="24"/>
          <w:szCs w:val="24"/>
        </w:rPr>
        <w:t xml:space="preserve">- полномочному представителю Правительства Кыргызской Республики в Чуйской области, Государственному агентству охраны окружающей среды и лесного хозяйства при Правительстве Кыргызской Республики, по согласованию: ОАО "Национальная энергетическая холдинговая компания" и ОАО "Кара-Балтинский горнорудный комбинат" оказать содействие Министерству чрезвычайных ситуаций Кыргызской Республики в организации и проведении мероприятий по захоронению угля с повышенным радиационным фоном.</w:t>
      </w:r>
    </w:p>
    <w:p>
      <w:pPr>
        <w:spacing w:after="120"/>
        <w:jc w:val="both"/>
      </w:pPr>
      <w:r>
        <w:rPr>
          <w:rFonts w:ascii="Arial" w:cs="Arial" w:eastAsia="Arial" w:hAnsi="Arial"/>
          <w:sz w:val="24"/>
          <w:szCs w:val="24"/>
        </w:rPr>
        <w:t xml:space="preserve">14.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августа 2017 года принять меры по погашению задолженности перед угледобывающими предприятиями Кыргызской Республики за уголь, поставленный в отопительный сезон 2016/2017 года;</w:t>
      </w:r>
    </w:p>
    <w:p>
      <w:pPr>
        <w:spacing w:after="120"/>
        <w:jc w:val="both"/>
      </w:pPr>
      <w:r>
        <w:rPr>
          <w:rFonts w:ascii="Arial" w:cs="Arial" w:eastAsia="Arial" w:hAnsi="Arial"/>
          <w:sz w:val="24"/>
          <w:szCs w:val="24"/>
        </w:rPr>
        <w:t xml:space="preserve">- обеспечить выполнение плановых технико-экономических показателей, установленных предприятию на 2017 год.</w:t>
      </w:r>
    </w:p>
    <w:p>
      <w:pPr>
        <w:spacing w:after="120"/>
        <w:jc w:val="both"/>
      </w:pPr>
      <w:r>
        <w:rPr>
          <w:rFonts w:ascii="Arial" w:cs="Arial" w:eastAsia="Arial" w:hAnsi="Arial"/>
          <w:sz w:val="24"/>
          <w:szCs w:val="24"/>
        </w:rPr>
        <w:t xml:space="preserve">15.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 обеспечить выполнение плановых технико-экономических показателей, установленных на 2017 год.</w:t>
      </w:r>
    </w:p>
    <w:p>
      <w:pPr>
        <w:spacing w:after="120"/>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120"/>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120"/>
        <w:jc w:val="both"/>
      </w:pPr>
      <w:r>
        <w:rPr>
          <w:rFonts w:ascii="Arial" w:cs="Arial" w:eastAsia="Arial" w:hAnsi="Arial"/>
          <w:sz w:val="24"/>
          <w:szCs w:val="24"/>
        </w:rPr>
        <w:t xml:space="preserve">- совместно с ОАО "Национальная электрическая сеть Кыргызстана", "Северэлектро", "Востокэлектро", "Ошэлектро" и "Жалалабатэлектро" обеспечить в 2017 году снижение уровня потерь электрической энергии в электрических сетях ОАО "Национальная электрическая сеть Кыргызстана" - до 5,9%, ОАО "Северэлектро" - до 12,4%, ОАО "Востокэлектро" - до 13,0%, ОАО "Ошэлектро" - до 12,4%, ОАО "Жалалабатэлектро" - до 12,4% и снижение дебиторской задолженности на 30%, без учета задолженности бюджетных потребителей и выплаты компенсаций за четвертый квартал 2017 года лицам, проживающим в условиях высокогорья и отдаленных труднодоступных зонах республики.</w:t>
      </w:r>
    </w:p>
    <w:p>
      <w:pPr>
        <w:spacing w:after="120"/>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и тепловую энергию и природный газ, и бюджетные организации, допускающие перерасход установленных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120"/>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yfjcn6j8gn-0yfymnlpae">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aivahsp0moqokcbazqro2">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2017/2018 года, с соблюдением взаимных гарантийных и иных обязательств.</w:t>
      </w:r>
    </w:p>
    <w:p>
      <w:pPr>
        <w:spacing w:after="120"/>
        <w:jc w:val="both"/>
      </w:pPr>
      <w:r>
        <w:rPr>
          <w:rFonts w:ascii="Arial" w:cs="Arial" w:eastAsia="Arial" w:hAnsi="Arial"/>
          <w:sz w:val="24"/>
          <w:szCs w:val="24"/>
        </w:rPr>
        <w:t xml:space="preserve">18. Рекомендовать ОсОО "Газпром Кыргызстан":</w:t>
      </w:r>
    </w:p>
    <w:p>
      <w:pPr>
        <w:spacing w:after="120"/>
        <w:jc w:val="both"/>
      </w:pPr>
      <w:r>
        <w:rPr>
          <w:rFonts w:ascii="Arial" w:cs="Arial" w:eastAsia="Arial" w:hAnsi="Arial"/>
          <w:sz w:val="24"/>
          <w:szCs w:val="24"/>
        </w:rPr>
        <w:t xml:space="preserve">- заключить с поставщиками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2017/2018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ОАО "Национальная электрическая сеть Кыргызстана".</w:t>
      </w:r>
    </w:p>
    <w:p>
      <w:pPr>
        <w:spacing w:after="120"/>
        <w:jc w:val="both"/>
      </w:pPr>
      <w:r>
        <w:rPr>
          <w:rFonts w:ascii="Arial" w:cs="Arial" w:eastAsia="Arial" w:hAnsi="Arial"/>
          <w:sz w:val="24"/>
          <w:szCs w:val="24"/>
        </w:rPr>
        <w:t xml:space="preserve">21. Рекомендовать мэрии города Бишкек до 1 апреля 2018 года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ОАО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w:t>
      </w:r>
      <w:hyperlink w:history="1" r:id="rIdqtbqr_hzybt4seify2j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2016/2017 года" от 26 апреля 2016 года № 215;</w:t>
      </w:r>
    </w:p>
    <w:p>
      <w:pPr>
        <w:spacing w:after="120"/>
        <w:jc w:val="both"/>
      </w:pPr>
      <w:r>
        <w:rPr>
          <w:rFonts w:ascii="Arial" w:cs="Arial" w:eastAsia="Arial" w:hAnsi="Arial"/>
          <w:sz w:val="24"/>
          <w:szCs w:val="24"/>
        </w:rPr>
        <w:t xml:space="preserve">- пункты 1, 2, 3, и 5 </w:t>
      </w:r>
      <w:hyperlink w:history="1" r:id="rId1gsr2z0rbwkdt7gkig6n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2016/2017 года" от 5 октября 2016 года № 531;</w:t>
      </w:r>
    </w:p>
    <w:p>
      <w:pPr>
        <w:spacing w:after="120"/>
        <w:jc w:val="both"/>
      </w:pPr>
      <w:r>
        <w:rPr>
          <w:rFonts w:ascii="Arial" w:cs="Arial" w:eastAsia="Arial" w:hAnsi="Arial"/>
          <w:sz w:val="24"/>
          <w:szCs w:val="24"/>
        </w:rPr>
        <w:t xml:space="preserve">- пункт 2 </w:t>
      </w:r>
      <w:hyperlink w:history="1" r:id="rIdchwwn_wol-llwqf-pky8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6 января 2017 года № 10.</w:t>
      </w:r>
    </w:p>
    <w:p>
      <w:pPr>
        <w:spacing w:after="120"/>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both"/>
      </w:pPr>
      <w:r>
        <w:rPr>
          <w:rFonts w:ascii="Arial" w:cs="Arial" w:eastAsia="Arial" w:hAnsi="Arial"/>
          <w:b/>
          <w:bCs/>
          <w:sz w:val="24"/>
          <w:szCs w:val="24"/>
        </w:rPr>
        <w:t xml:space="preserve">ПЛАН
 мероприятий по подготовке отраслей экономики и населения Кыргызской Республики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132"/>
        <w:gridCol w:w="1586"/>
        <w:gridCol w:w="4096"/>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40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2017 года и I квартал 2018 года на основе прогноза и ожидаемого объема электропотребления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2017 года)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(по согласованию): ОАО "Национальная энергетическая холдинговая компания", ОАО "НЭС Кыргызстана"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Государственный комитет промышленности, энергетики и недропользования Кыргызской Республики Порядок планирования лицензиатами объемов суточного потребления электрической энергии и мощности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w:t>
            </w:r>
            <w:hyperlink w:history="1" r:id="rIdsdy9ogn-gpz7p6fe8se98">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d5g8skz1turn43pa8jqrp">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настоящему постановлению</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2017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hyperlink w:history="1" r:id="rIdp6abes_gzkronovi7_tm3">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cml_bdexnm-rckiycjlsn">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tc>
        <w:tc>
          <w:tcPr>
            <w:tcW w:type="dxa" w:w="15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0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аннулирование технических условий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hyperlink w:history="1" r:id="rIdghajn0-jw1aysu9vasrrx">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j0e2n7ihejwcrclxglfug">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и тепловую энергию и природный газ</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2016/2017 года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2017 года по 1 марта2018 года</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в Джалал-Абадской области к осенне-зимнему периоду 2017/2018 года</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o0xdm8zqqeigjea6m2c75">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445"/>
        <w:gridCol w:w="666"/>
        <w:gridCol w:w="636"/>
        <w:gridCol w:w="636"/>
        <w:gridCol w:w="636"/>
        <w:gridCol w:w="636"/>
        <w:gridCol w:w="636"/>
        <w:gridCol w:w="636"/>
        <w:gridCol w:w="636"/>
        <w:gridCol w:w="636"/>
        <w:gridCol w:w="636"/>
        <w:gridCol w:w="641"/>
        <w:gridCol w:w="641"/>
        <w:gridCol w:w="641"/>
      </w:tblGrid>
      <w:tr>
        <w:tc>
          <w:tcPr>
            <w:tcW w:type="dxa" w:w="4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мероприятий</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92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Электрическая энергия: (млн. кВт. час)</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 энергии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1976,773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132,871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106,581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120,746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114,475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107,416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202,794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242,251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256,603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227,843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214,684</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 план потребления эл. энергии по РЭК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1589,930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103,678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84,356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81,387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89,448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77,470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113,112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168,960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202,772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214,708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191,981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177,558</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электрической энергии по КПП</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59,188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6,298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6,599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5,620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4,926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5,117</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э/энергии Кумтор ОК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273,703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20,334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14,295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24,452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21,057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21,053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21,665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22,233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26,827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30,852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25,923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27,265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хознужды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0,0097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0,0260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0,0190</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нужды ОАО "Электрические станции"</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53,757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4,584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4,164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5,397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4,989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4,725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области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345</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РЭК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383</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298</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КПП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Кумтору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Подготовка котельных: (шт.)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подготовки котельных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промышленных, связанных с теплоснабжением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r>
              <w:rPr>
                <w:rFonts w:ascii="Arial" w:cs="Arial" w:eastAsia="Arial" w:hAnsi="Arial"/>
                <w:b/>
                <w:bCs/>
                <w:sz w:val="20"/>
                <w:szCs w:val="20"/>
              </w:rPr>
              <w:t xml:space="preserve">I</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Поставка и создание запасов топлива: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для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178,700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11,900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0,284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0,069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0,045</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ФОМС,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0,644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образования,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МЧС,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0,030</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МВД,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0,042</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частям ГПС,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ГК по делам обороны,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0,378</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0,258</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3.10</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ГСИН,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3.11</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Минтруда и соцразвития,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0,017</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0,016</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0,005</w:t>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Агентства НСПО при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3.13</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3.14</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0,120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0,204</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0,440</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0,401</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Ошской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1706"/>
        <w:gridCol w:w="666"/>
        <w:gridCol w:w="614"/>
        <w:gridCol w:w="614"/>
        <w:gridCol w:w="614"/>
        <w:gridCol w:w="614"/>
        <w:gridCol w:w="614"/>
        <w:gridCol w:w="614"/>
        <w:gridCol w:w="614"/>
        <w:gridCol w:w="614"/>
        <w:gridCol w:w="614"/>
        <w:gridCol w:w="618"/>
        <w:gridCol w:w="618"/>
        <w:gridCol w:w="618"/>
      </w:tblGrid>
      <w:tr>
        <w:tc>
          <w:tcPr>
            <w:tcW w:type="dxa" w:w="4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2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1008,410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58,839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58,405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83,687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101,576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83,851</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940,632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67,425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52,079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79,030</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0,0020</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135,530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0,241</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1</w:t>
            </w: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городу Ош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31"/>
        <w:gridCol w:w="629"/>
        <w:gridCol w:w="647"/>
        <w:gridCol w:w="647"/>
        <w:gridCol w:w="647"/>
        <w:gridCol w:w="647"/>
        <w:gridCol w:w="647"/>
        <w:gridCol w:w="647"/>
        <w:gridCol w:w="647"/>
        <w:gridCol w:w="647"/>
        <w:gridCol w:w="647"/>
        <w:gridCol w:w="650"/>
        <w:gridCol w:w="650"/>
        <w:gridCol w:w="650"/>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3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82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832,443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106,384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124,244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94,825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104,024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52,206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97,444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113,384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94,981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64,982</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20,953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28,940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2,514</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2,967</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0,216</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0,203</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0,024</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5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739,597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48,126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45,327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90,485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75,528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59,118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592,642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30,744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64,499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47,390</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120,893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9,567</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0,0015</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0,076</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Чуйской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3172,943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233,904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293,556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384,825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256,816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2432,279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178,542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122,578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314,725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318,455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206,387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413,341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318,970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4,970</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0,0155</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0,268</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414,135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37,253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58,291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58,761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52,385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391,284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34,249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0,0119</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городу Бишкек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4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0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3142,112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176,874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169,582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171,770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412,375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266,168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2511,356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132,166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294,692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323,253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309,796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273,668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207,688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348,626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22,538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41,087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34,354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25,915</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69,810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34,435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0,349</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126,000</w:t>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6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40,073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29,199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52,510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572,415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38,041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37,769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45,887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49,606</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0,146</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25,152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3,847</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0,024</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СП "Кыргызтеплоэнерго"</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3,191</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b/>
          <w:bCs/>
          <w:sz w:val="24"/>
          <w:szCs w:val="24"/>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8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1424,878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117,362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176,043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182,923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159,184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128,564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996,107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130,373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140,687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118,559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90,883</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26,200</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0,123</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18,768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4,131</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ЛИМИТЫ
 потребления электрической энергии и мощности и создание необходимого запаса топлива в Кыргызской Республике к осенне-зимнему периоду 2017/2018 года</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ckozvzwhnaudn7_0m73dy">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1384"/>
        <w:gridCol w:w="712"/>
        <w:gridCol w:w="624"/>
        <w:gridCol w:w="624"/>
        <w:gridCol w:w="624"/>
        <w:gridCol w:w="624"/>
        <w:gridCol w:w="624"/>
        <w:gridCol w:w="624"/>
        <w:gridCol w:w="624"/>
        <w:gridCol w:w="624"/>
        <w:gridCol w:w="624"/>
        <w:gridCol w:w="653"/>
        <w:gridCol w:w="653"/>
        <w:gridCol w:w="653"/>
      </w:tblGrid>
      <w:tr>
        <w:tc>
          <w:tcPr>
            <w:tcW w:type="dxa" w:w="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13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мероприятий</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61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Электрическая энергия: (млн. кВт. час)</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 энергии по республике, всего: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14272,632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1028,260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775,492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745,110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794,646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793,330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753,599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1176,298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1536,283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1750,223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1774,587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1596,778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1548,027</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 план потребления эл. энергии по РЭК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11561,636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840,344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610,068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572,921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602,403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593,670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553,906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952,828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1267,536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1449,375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1491,788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1333,164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1293,632</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электрической энергии по КПП</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1167,064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87,078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82,382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91,185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101,590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102,960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104,073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108,798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112,515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90,925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89,047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100,091</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потребления э/энергии Кумтор ОК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298,722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22,253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22,808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25,600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23,800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24,700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26,200</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940,019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58,154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46,099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45,010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56,329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58,409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78,681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98,255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118,062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122,154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108,350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92,256</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хозяйственные нужды ОАО "НЭС Кыргызстана"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0,116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0,254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0,593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0,626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хозяйственные нужды ОАО "Электрические станции"</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301,514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20,224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13,793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13,196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13,021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14,862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35,439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42,778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45,294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40,946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35,373</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республике с учетом транзитных потерь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1528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2207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2487</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РЭК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1219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КПП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предельная величина мощности по Кумтору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потери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транзитные потери ОАО "НЭС Кыргызстана", МВт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Подготовка котельных: (шт.)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план подготовки котельных по республике, всего: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промышленных, связанных с теплоснабжением населения</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632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КП "Бишкектеплоэнерго"</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Ошского МП "Теплоснабжение"</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III</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Поставка и создание запасов топлива:</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для населения:</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1074,455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93,655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206,995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173,323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171,223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155,465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116,180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97,111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9,043</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Минздрава,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0,384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0,995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ФОМС,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14,330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1,095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4,492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4,811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2,298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МОН,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15,702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3,589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5,048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2,358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 учреждениям образования,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76,383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10,564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17,621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25,402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18,379</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культуры,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0,867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0,397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МЧС,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0,2421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0,5503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0,4703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0,3098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0,1340</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МВД,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0,833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0,785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0,763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0,471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0,323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ГК по делам обороны,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10,087</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1,513</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частям ГПС,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4,996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1,171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0,575</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3.10</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ГСИН,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3,591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0,640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1,193</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0,480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3.11</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Минтруда и соцразвития,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2,378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0,104</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0,336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0,443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0,085</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3.12</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учреждениям Агентства НСПО при МОН,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3.13</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республиканский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20,942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2,410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3,154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3,308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53,306</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8,068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7,878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3.14</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ГП "Кыргызтеплоэнерго",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0,290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0,412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21,482</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2,922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3.15</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КП "Бишкектеплоэнерго", местный бюджет: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1,400</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3.16</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ТЭЦ города Бишкек:</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125,000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126,000</w:t>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3.17</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ТЭЦ города Ош:</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мазут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14,441</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5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3.18</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объектам Ошского МП "Теплоснабжение"</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3,000</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уголь (тыс. т)</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b/>
          <w:bCs/>
          <w:sz w:val="24"/>
          <w:szCs w:val="24"/>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Кыргызстана", ОАО "Кыргызнефтегаз" по поставке угля, природного газа и мазута на тепловые электростанции ОАО "Электрические станции" для подготовки к осенне-зимнему сезону 2017/2018 года</w:t>
      </w:r>
    </w:p>
    <w:p>
      <w:pPr>
        <w:spacing w:after="120"/>
        <w:jc w:val="both"/>
      </w:pPr>
      <w:r>
        <w:rPr>
          <w:rFonts w:ascii="Arial" w:cs="Arial" w:eastAsia="Arial" w:hAnsi="Arial"/>
          <w:sz w:val="24"/>
          <w:szCs w:val="24"/>
        </w:rPr>
        <w:t xml:space="preserve">(уголь, 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0"/>
        <w:gridCol w:w="507"/>
        <w:gridCol w:w="741"/>
        <w:gridCol w:w="442"/>
        <w:gridCol w:w="442"/>
        <w:gridCol w:w="442"/>
        <w:gridCol w:w="442"/>
        <w:gridCol w:w="442"/>
        <w:gridCol w:w="442"/>
        <w:gridCol w:w="442"/>
        <w:gridCol w:w="442"/>
        <w:gridCol w:w="442"/>
        <w:gridCol w:w="442"/>
        <w:gridCol w:w="442"/>
        <w:gridCol w:w="442"/>
        <w:gridCol w:w="442"/>
        <w:gridCol w:w="442"/>
        <w:gridCol w:w="442"/>
        <w:gridCol w:w="442"/>
        <w:gridCol w:w="947"/>
      </w:tblGrid>
      <w:tr>
        <w:tc>
          <w:tcPr>
            <w:tcW w:type="dxa" w:w="9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01.04.17 г.</w:t>
            </w:r>
          </w:p>
        </w:tc>
        <w:tc>
          <w:tcPr>
            <w:tcW w:type="dxa" w:w="7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2-4 кв. 2017 г. и в 1 кв. 2018 г.</w:t>
            </w:r>
          </w:p>
        </w:tc>
        <w:tc>
          <w:tcPr>
            <w:tcW w:type="dxa" w:w="7072"/>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76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ll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чем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импортным</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 предприятия</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w:t>
            </w:r>
          </w:p>
        </w:tc>
      </w:tr>
      <w:tr>
        <w:tc>
          <w:tcPr>
            <w:tcW w:type="dxa" w:w="9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ОсОО "ГК"</w:t>
            </w:r>
          </w:p>
        </w:tc>
      </w:tr>
    </w:tbl>
    <w:p>
      <w:pPr>
        <w:spacing w:after="120"/>
        <w:jc w:val="both"/>
      </w:pPr>
      <w:r>
        <w:rPr>
          <w:rFonts w:ascii="Arial" w:cs="Arial" w:eastAsia="Arial" w:hAnsi="Arial"/>
          <w:sz w:val="24"/>
          <w:szCs w:val="24"/>
        </w:rPr>
        <w:t xml:space="preserve">Примечание: ГКПЭН КР - Государственный комитет промышленности, энергетики и недропользования Республики;</w:t>
      </w:r>
    </w:p>
    <w:p>
      <w:pPr>
        <w:spacing w:after="120"/>
        <w:jc w:val="both"/>
      </w:pPr>
      <w:r>
        <w:rPr>
          <w:rFonts w:ascii="Arial" w:cs="Arial" w:eastAsia="Arial" w:hAnsi="Arial"/>
          <w:sz w:val="24"/>
          <w:szCs w:val="24"/>
        </w:rPr>
        <w:t xml:space="preserve">ОАО "НЭХК" - открытое акционерное общество "Национальная энергетическая холдинговая компания";</w:t>
      </w:r>
    </w:p>
    <w:p>
      <w:pPr>
        <w:spacing w:after="120"/>
        <w:jc w:val="both"/>
      </w:pPr>
      <w:r>
        <w:rPr>
          <w:rFonts w:ascii="Arial" w:cs="Arial" w:eastAsia="Arial" w:hAnsi="Arial"/>
          <w:sz w:val="24"/>
          <w:szCs w:val="24"/>
        </w:rPr>
        <w:t xml:space="preserve">ОАО "ЭС" - открытое акционерное общество "Электрические станции";</w:t>
      </w:r>
    </w:p>
    <w:p>
      <w:pPr>
        <w:spacing w:after="120"/>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120"/>
        <w:jc w:val="both"/>
      </w:pPr>
      <w:r>
        <w:rPr>
          <w:rFonts w:ascii="Arial" w:cs="Arial" w:eastAsia="Arial" w:hAnsi="Arial"/>
          <w:sz w:val="24"/>
          <w:szCs w:val="24"/>
        </w:rPr>
        <w:t xml:space="preserve">ОАО "КНГ" - открытое акционерное общество "Кыргызнефтегаз";</w:t>
      </w:r>
    </w:p>
    <w:p>
      <w:pPr>
        <w:spacing w:after="120"/>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b/>
          <w:bCs/>
          <w:sz w:val="24"/>
          <w:szCs w:val="24"/>
        </w:rPr>
        <w:t xml:space="preserve">ЗАДАНИЕ
 ОАО "Кыргызнефтегаз" на поставку природного газа и мазута для подготовки к осенне-зимнему периоду 2017/2018 года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uhqy29nmur_wqu9w6wga7">
        <w:r>
          <w:rPr>
            <w:rFonts w:ascii="Arial" w:cs="Arial" w:eastAsia="Arial" w:hAnsi="Arial"/>
            <w:color w:val="1D4ED8"/>
            <w:sz w:val="24"/>
            <w:szCs w:val="24"/>
            <w:u w:val="single"/>
          </w:rPr>
          <w:t xml:space="preserve">10 октября 2017 года № 657</w:t>
        </w:r>
      </w:hyperlink>
      <w:r>
        <w:rPr>
          <w:rFonts w:ascii="Arial" w:cs="Arial" w:eastAsia="Arial" w:hAnsi="Arial"/>
          <w:sz w:val="24"/>
          <w:szCs w:val="24"/>
        </w:rPr>
        <w:t xml:space="preserve">)</w:t>
      </w:r>
    </w:p>
    <w:p>
      <w:pPr>
        <w:spacing w:after="120"/>
        <w:jc w:val="both"/>
      </w:pPr>
      <w:r>
        <w:rPr>
          <w:rFonts w:ascii="Arial" w:cs="Arial" w:eastAsia="Arial" w:hAnsi="Arial"/>
          <w:sz w:val="20"/>
          <w:szCs w:val="20"/>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9"/>
        <w:gridCol w:w="994"/>
        <w:gridCol w:w="621"/>
        <w:gridCol w:w="621"/>
        <w:gridCol w:w="621"/>
        <w:gridCol w:w="621"/>
        <w:gridCol w:w="621"/>
        <w:gridCol w:w="621"/>
        <w:gridCol w:w="621"/>
        <w:gridCol w:w="621"/>
        <w:gridCol w:w="621"/>
        <w:gridCol w:w="620"/>
        <w:gridCol w:w="620"/>
        <w:gridCol w:w="620"/>
      </w:tblGrid>
      <w:tr>
        <w:tc>
          <w:tcPr>
            <w:tcW w:type="dxa" w:w="17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Наименование</w:t>
            </w:r>
          </w:p>
        </w:tc>
        <w:tc>
          <w:tcPr>
            <w:tcW w:type="dxa" w:w="9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Необходимо поставить во </w:t>
            </w:r>
            <w:r>
              <w:rPr>
                <w:rFonts w:ascii="Arial" w:cs="Arial" w:eastAsia="Arial" w:hAnsi="Arial"/>
                <w:b/>
                <w:bCs/>
                <w:sz w:val="20"/>
                <w:szCs w:val="20"/>
              </w:rPr>
              <w:t xml:space="preserve">I</w:t>
            </w:r>
            <w:r>
              <w:rPr>
                <w:rFonts w:ascii="Arial" w:cs="Arial" w:eastAsia="Arial" w:hAnsi="Arial"/>
                <w:b/>
                <w:bCs/>
                <w:sz w:val="20"/>
                <w:szCs w:val="20"/>
              </w:rPr>
              <w:t xml:space="preserve">I-IV кв. 2017 г. и I кв. 2018 г.</w:t>
            </w:r>
          </w:p>
          <w:p>
            <w:pPr>
              <w:jc w:val="left"/>
            </w:pPr>
            <w:r>
              <w:rPr>
                <w:rFonts w:ascii="Arial" w:cs="Arial" w:eastAsia="Arial" w:hAnsi="Arial"/>
                <w:b/>
                <w:bCs/>
                <w:sz w:val="20"/>
                <w:szCs w:val="20"/>
              </w:rPr>
              <w:t xml:space="preserve">Всего</w:t>
            </w:r>
          </w:p>
        </w:tc>
        <w:tc>
          <w:tcPr>
            <w:tcW w:type="dxa" w:w="558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186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Апрель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Июнь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Июль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Август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Сентябрь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Октябрь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Ноябрь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Декабрь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Январь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Февраль</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Март</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Поставка топливных ресурсов</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природный газ, всего:</w:t>
            </w:r>
          </w:p>
          <w:p>
            <w:pPr>
              <w:jc w:val="left"/>
            </w:pPr>
            <w:r>
              <w:rPr>
                <w:rFonts w:ascii="Arial" w:cs="Arial" w:eastAsia="Arial" w:hAnsi="Arial"/>
                <w:sz w:val="20"/>
                <w:szCs w:val="20"/>
              </w:rPr>
              <w:t xml:space="preserve">в том числе:</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населения</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мазут, всего:</w:t>
            </w:r>
          </w:p>
          <w:p>
            <w:pPr>
              <w:jc w:val="left"/>
            </w:pPr>
            <w:r>
              <w:rPr>
                <w:rFonts w:ascii="Arial" w:cs="Arial" w:eastAsia="Arial" w:hAnsi="Arial"/>
                <w:sz w:val="20"/>
                <w:szCs w:val="20"/>
              </w:rPr>
              <w:t xml:space="preserve">в том числе:</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34,441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ТЭЦ гор. Бишкек</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ТЭЦ гор. Ош</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14,441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3,76</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2,583</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2,015</w:t>
            </w:r>
          </w:p>
        </w:tc>
      </w:tr>
      <w:tr>
        <w:tc>
          <w:tcPr>
            <w:tcW w:type="dxa" w:w="1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ГП "Кыргызтеплоэнерго"</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b/>
          <w:bCs/>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"НЭХК" и отпуска электроэнергии в распредэлектрокомпании ОАО "Северэлектро", ОАО "Востокэлектро", ОАО "Ошэлектро", ОАО "Жалалабатэлектро"</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br0ook29-cptx6nehu57">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p>
      <w:pPr>
        <w:spacing w:after="120"/>
        <w:jc w:val="both"/>
      </w:pPr>
      <w:r>
        <w:rPr>
          <w:rFonts w:ascii="Arial" w:cs="Arial" w:eastAsia="Arial" w:hAnsi="Arial"/>
          <w:sz w:val="20"/>
          <w:szCs w:val="20"/>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8"/>
        <w:gridCol w:w="751"/>
        <w:gridCol w:w="751"/>
        <w:gridCol w:w="751"/>
        <w:gridCol w:w="751"/>
        <w:gridCol w:w="751"/>
        <w:gridCol w:w="751"/>
        <w:gridCol w:w="865"/>
        <w:gridCol w:w="796"/>
      </w:tblGrid>
      <w:tr>
        <w:tc>
          <w:tcPr>
            <w:tcW w:type="dxa" w:w="40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8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
 Всего:</w:t>
            </w:r>
          </w:p>
        </w:tc>
        <w:tc>
          <w:tcPr>
            <w:tcW w:type="dxa" w:w="7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2018 год
 I кв.</w:t>
            </w:r>
          </w:p>
        </w:tc>
      </w:tr>
      <w:tr>
        <w:tc>
          <w:tcPr>
            <w:vMerge w:val="continue"/>
            <w:tcBorders>
              <w:top w:val="single" w:color="CBBF9E" w:sz="4"/>
              <w:left w:val="single" w:color="CBBF9E" w:sz="4"/>
              <w:bottom w:val="single" w:color="CBBF9E" w:sz="4"/>
              <w:right w:val="single" w:color="CBBF9E" w:sz="4"/>
            </w:tcBorders>
          </w:tcP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6 мес.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III кв.</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9 мес.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w:t>
            </w:r>
            <w:r>
              <w:rPr>
                <w:rFonts w:ascii="Arial" w:cs="Arial" w:eastAsia="Arial" w:hAnsi="Arial"/>
                <w:b/>
                <w:bCs/>
                <w:sz w:val="20"/>
                <w:szCs w:val="20"/>
              </w:rPr>
              <w:t xml:space="preserve">V</w:t>
            </w:r>
            <w:r>
              <w:rPr>
                <w:rFonts w:ascii="Arial" w:cs="Arial" w:eastAsia="Arial" w:hAnsi="Arial"/>
                <w:b/>
                <w:bCs/>
                <w:sz w:val="20"/>
                <w:szCs w:val="20"/>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Объем воды на Токтогульском водохранилище, при среднемноголетней приточности (млрд. куб.м.)</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12,78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17,28</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17,28</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13,88</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Уровень воды в верхнем бьефе Токтогульского водохранилища (м)</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874,03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896,53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896,53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900,14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900,14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892,12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892,12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878,72</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Выработка электроэнергии,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4839,6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2696,1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7535,8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3278,3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10814,1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4578,6</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15392,7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4920,4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ГЭС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4348,7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2597,9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6946,6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3182,1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10128,8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4101,0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14229,8</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4318,5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ТЭЦ</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490,9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685,3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477,6</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1162,9</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601,9</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Поступление электроэнергии в сети ОАО "НЭС Кыргызстана"</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4672,0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2620,7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7292,7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3196,4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10489,1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4429,9</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14919,0</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4737,6</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 т.ч. импорт электроэнергии</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экспорт электроэнергии</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159,44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159,46</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930,02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1089,48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110,94</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1200,42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передача электроэнергии КПП,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338,0</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654,4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365,8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1020,3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391,5</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1411,7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341,2</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передача электроэнергии РЭК,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4042,4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1986,5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6028,9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1712,8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7741,7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3613,5</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11355,2</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4054,5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Отпуск электроэнергии от ОАО "Электрические станции" в сети РЭК, всего: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4106,4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2023,3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6129,7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1749,4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7879,1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3669,2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11548,3</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4118,4</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 том числе: ОАО "Северэлектро"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2024,8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1009,9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3034,7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866,1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3900,7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1836,0</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5736,7</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2024,8</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"Востокэлектро"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913,9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1162,4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533,1</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1695,5</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623,5</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"Ошэлектро"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885,1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442,3</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1327,4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383,5</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1710,9</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815,2</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2526,1</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885,9</w:t>
            </w:r>
          </w:p>
        </w:tc>
      </w:tr>
      <w:tr>
        <w:tc>
          <w:tcPr>
            <w:tcW w:type="dxa" w:w="4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ОАО "Жалалабатэлектро"</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269,4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853,7</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251,4</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1105,1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484,8</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1589,9</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120"/>
        <w:jc w:val="both"/>
      </w:pPr>
      <w:r>
        <w:rPr>
          <w:rFonts w:ascii="Arial" w:cs="Arial" w:eastAsia="Arial" w:hAnsi="Arial"/>
          <w:b/>
          <w:bCs/>
          <w:sz w:val="24"/>
          <w:szCs w:val="24"/>
        </w:rPr>
        <w:t xml:space="preserve">ЗАДАНИЕ
 ОАО "Электрические станции"
 по выработке электроэнергии и мощности на ТЭЦ города Бишкек
 на 2017 год и I квартал 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20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w:t>
            </w:r>
            <w:r>
              <w:rPr>
                <w:rFonts w:ascii="Arial" w:cs="Arial" w:eastAsia="Arial" w:hAnsi="Arial"/>
                <w:b/>
                <w:bCs/>
                <w:sz w:val="24"/>
                <w:szCs w:val="24"/>
              </w:rPr>
              <w:t xml:space="preserve">кв</w:t>
            </w:r>
            <w:r>
              <w:rPr>
                <w:rFonts w:ascii="Arial" w:cs="Arial" w:eastAsia="Arial" w:hAnsi="Arial"/>
                <w:b/>
                <w:bCs/>
                <w:sz w:val="24"/>
                <w:szCs w:val="24"/>
              </w:rPr>
              <w:t xml:space="preserve">.</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491,575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44,640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462,720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1162,735</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215,040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601,920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по выработке электроэнергии и мощности</w:t>
      </w:r>
      <w:r>
        <w:rPr>
          <w:rFonts w:ascii="Arial" w:cs="Arial" w:eastAsia="Arial" w:hAnsi="Arial"/>
          <w:b/>
          <w:bCs/>
          <w:sz w:val="24"/>
          <w:szCs w:val="24"/>
        </w:rPr>
        <w:t xml:space="preserve">
 на ТЭЦ города Ош на 2017 год и I квартал 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362"/>
        <w:gridCol w:w="490"/>
        <w:gridCol w:w="490"/>
        <w:gridCol w:w="490"/>
        <w:gridCol w:w="490"/>
        <w:gridCol w:w="490"/>
        <w:gridCol w:w="490"/>
        <w:gridCol w:w="490"/>
        <w:gridCol w:w="490"/>
        <w:gridCol w:w="490"/>
        <w:gridCol w:w="490"/>
        <w:gridCol w:w="490"/>
        <w:gridCol w:w="490"/>
        <w:gridCol w:w="490"/>
        <w:gridCol w:w="490"/>
        <w:gridCol w:w="508"/>
        <w:gridCol w:w="508"/>
        <w:gridCol w:w="508"/>
        <w:gridCol w:w="508"/>
      </w:tblGrid>
      <w:tr>
        <w:tc>
          <w:tcPr>
            <w:tcW w:type="dxa" w:w="9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60"/>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20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w:t>
            </w:r>
            <w:r>
              <w:rPr>
                <w:rFonts w:ascii="Arial" w:cs="Arial" w:eastAsia="Arial" w:hAnsi="Arial"/>
                <w:b/>
                <w:bCs/>
                <w:sz w:val="24"/>
                <w:szCs w:val="24"/>
              </w:rPr>
              <w:t xml:space="preserve">.</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120"/>
        <w:jc w:val="both"/>
      </w:pPr>
      <w:r>
        <w:rPr>
          <w:rFonts w:ascii="Arial" w:cs="Arial" w:eastAsia="Arial" w:hAnsi="Arial"/>
          <w:b/>
          <w:bCs/>
          <w:sz w:val="24"/>
          <w:szCs w:val="24"/>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2017/2018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3mlgx6smhoyjfbcpk3g1">
        <w:r>
          <w:rPr>
            <w:rFonts w:ascii="Arial" w:cs="Arial" w:eastAsia="Arial" w:hAnsi="Arial"/>
            <w:i/>
            <w:iCs/>
            <w:color w:val="1D4ED8"/>
            <w:sz w:val="24"/>
            <w:szCs w:val="24"/>
            <w:u w:val="single"/>
          </w:rPr>
          <w:t xml:space="preserve">18 июля 2017 года № 434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2514"/>
        <w:gridCol w:w="869"/>
        <w:gridCol w:w="850"/>
        <w:gridCol w:w="850"/>
        <w:gridCol w:w="850"/>
        <w:gridCol w:w="850"/>
        <w:gridCol w:w="850"/>
        <w:gridCol w:w="1999"/>
      </w:tblGrid>
      <w:tr>
        <w:tc>
          <w:tcPr>
            <w:tcW w:type="dxa" w:w="5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42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9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w:t>
            </w:r>
          </w:p>
          <w:p>
            <w:pPr>
              <w:jc w:val="left"/>
            </w:pPr>
            <w:r>
              <w:rPr>
                <w:rFonts w:ascii="Arial" w:cs="Arial" w:eastAsia="Arial" w:hAnsi="Arial"/>
                <w:sz w:val="24"/>
                <w:szCs w:val="24"/>
              </w:rPr>
              <w:t xml:space="preserve">пара/ч</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2140,14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817,73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815,79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277,07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209,51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1126,45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352,90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341,95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235,30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2256,56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100,86</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3830,45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869,64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1052,84</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1074,62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833,35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129,86</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замена вышедшей из строя запорной арматуры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тепловой изоляции</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vMerge w:val="continue"/>
            <w:tcBorders>
              <w:top w:val="none" w:color="auto" w:sz="0"/>
              <w:left w:val="none" w:color="auto" w:sz="0"/>
              <w:bottom w:val="single" w:color="CBBF9E" w:sz="4"/>
              <w:right w:val="single" w:color="CBBF9E" w:sz="4"/>
            </w:tcBorders>
          </w:tcP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b/>
          <w:bCs/>
          <w:sz w:val="24"/>
          <w:szCs w:val="24"/>
        </w:rPr>
        <w:t xml:space="preserve">ЗАДАНИЕ
 ОАО "Северэлектро", ОАО "Востокэлектро", ОАО "Жалалабатэлектро", ОАО "Ошэлектро" по строительству и реконструкции ВЛ 0,4-10 кВ, ТП 10/0,4 кВ в 2017 году</w:t>
      </w:r>
    </w:p>
    <w:p>
      <w:pPr>
        <w:spacing w:after="120"/>
        <w:jc w:val="both"/>
      </w:pPr>
      <w:r>
        <w:rPr>
          <w:rFonts w:ascii="Arial" w:cs="Arial" w:eastAsia="Arial" w:hAnsi="Arial"/>
          <w:i/>
          <w:iCs/>
          <w:sz w:val="20"/>
          <w:szCs w:val="20"/>
        </w:rPr>
        <w:t xml:space="preserve">(В редакции постановления Правительства КР от </w:t>
      </w:r>
      <w:hyperlink w:history="1" r:id="rId859skadchk5ntpe2haahe">
        <w:r>
          <w:rPr>
            <w:rFonts w:ascii="Arial" w:cs="Arial" w:eastAsia="Arial" w:hAnsi="Arial"/>
            <w:i/>
            <w:iCs/>
            <w:color w:val="1D4ED8"/>
            <w:sz w:val="20"/>
            <w:szCs w:val="20"/>
            <w:u w:val="single"/>
          </w:rPr>
          <w:t xml:space="preserve">10 октября 2017 года № 657</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3695"/>
        <w:gridCol w:w="867"/>
        <w:gridCol w:w="576"/>
        <w:gridCol w:w="576"/>
        <w:gridCol w:w="576"/>
        <w:gridCol w:w="576"/>
        <w:gridCol w:w="576"/>
        <w:gridCol w:w="2105"/>
      </w:tblGrid>
      <w:tr>
        <w:tc>
          <w:tcPr>
            <w:tcW w:type="dxa" w:w="6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 п/п</w:t>
            </w:r>
          </w:p>
        </w:tc>
        <w:tc>
          <w:tcPr>
            <w:tcW w:type="dxa" w:w="3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области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Ед. изм.</w:t>
            </w:r>
          </w:p>
        </w:tc>
        <w:tc>
          <w:tcPr>
            <w:tcW w:type="dxa" w:w="28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2017 год</w:t>
            </w:r>
          </w:p>
        </w:tc>
        <w:tc>
          <w:tcPr>
            <w:tcW w:type="dxa" w:w="2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III</w:t>
            </w:r>
            <w:r>
              <w:rPr>
                <w:rFonts w:ascii="Arial" w:cs="Arial" w:eastAsia="Arial" w:hAnsi="Arial"/>
                <w:b/>
                <w:bCs/>
                <w:sz w:val="20"/>
                <w:szCs w:val="20"/>
              </w:rPr>
              <w:t xml:space="preserve">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I</w:t>
            </w:r>
            <w:r>
              <w:rPr>
                <w:rFonts w:ascii="Arial" w:cs="Arial" w:eastAsia="Arial" w:hAnsi="Arial"/>
                <w:b/>
                <w:bCs/>
                <w:sz w:val="20"/>
                <w:szCs w:val="20"/>
              </w:rPr>
              <w:t xml:space="preserve">V</w:t>
            </w:r>
            <w:r>
              <w:rPr>
                <w:rFonts w:ascii="Arial" w:cs="Arial" w:eastAsia="Arial" w:hAnsi="Arial"/>
                <w:b/>
                <w:bCs/>
                <w:sz w:val="20"/>
                <w:szCs w:val="20"/>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"Северэлектро"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"Северэлектро"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280,7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1907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6479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128,2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483,5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Чуйская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КЛ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3256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216,0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Таласская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BЛ110-0,4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0,4 кВ на СИП</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1766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"Востокэлектро"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"Востокэлектро"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93,3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34,7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MB-10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Иссык-Кульская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67,5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125,6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Нарынская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 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 35-10-0,4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"Ошэлектро"</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"Ошэлектро"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23450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9021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7779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527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MB-10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ОДКЭ-35 кВ на МВ-10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6740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2350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МВ-10 кВ на ВВ-10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46,9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39,3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Ошская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ВЛ-0,4-10 кВ реконструкция и строительства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10910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4228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3712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ОДКЭ-35 кВ на МВ-10 кВ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33,5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Баткенская область</w:t>
            </w:r>
          </w:p>
        </w:tc>
        <w:tc>
          <w:tcPr>
            <w:tcW w:type="dxa" w:w="3747"/>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ВЛ-10-0,4 кВ реконструкция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5800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770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1717</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приборов учета на АСКУЭ</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BЛ-6-10 кВ для установки ЦАТР</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20,5</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"Жалалабатэлектро"</w:t>
            </w:r>
          </w:p>
        </w:tc>
        <w:tc>
          <w:tcPr>
            <w:tcW w:type="dxa" w:w="3747"/>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"Жалалабатэлектро"</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Джалал-Абадская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Установка доп. КТП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трансформаторов 6-10/0,4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Вынос приборов учета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6000</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Реконструкция ВЛ-35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Строительство ВЛ-35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трансформатора на ПС-35 кВ</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vMerge w:val="continue"/>
            <w:tcBorders>
              <w:top w:val="none" w:color="auto" w:sz="0"/>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млн. сом.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122,1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38,4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b/>
          <w:bCs/>
          <w:sz w:val="24"/>
          <w:szCs w:val="24"/>
        </w:rPr>
        <w:t xml:space="preserve">ЗАДАНИЕ
 ОсОО "Газпром Кыргызстан" по поставке природного газа населению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1852"/>
        <w:gridCol w:w="855"/>
        <w:gridCol w:w="855"/>
        <w:gridCol w:w="855"/>
        <w:gridCol w:w="855"/>
        <w:gridCol w:w="855"/>
        <w:gridCol w:w="855"/>
        <w:gridCol w:w="855"/>
        <w:gridCol w:w="855"/>
      </w:tblGrid>
      <w:tr>
        <w:tc>
          <w:tcPr>
            <w:tcW w:type="dxa" w:w="1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8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w:t>
            </w:r>
            <w:r>
              <w:rPr>
                <w:rFonts w:ascii="Arial" w:cs="Arial" w:eastAsia="Arial" w:hAnsi="Arial"/>
                <w:b/>
                <w:bCs/>
                <w:sz w:val="24"/>
                <w:szCs w:val="24"/>
              </w:rPr>
              <w:t xml:space="preserve">IV</w:t>
            </w:r>
            <w:r>
              <w:rPr>
                <w:rFonts w:ascii="Arial" w:cs="Arial" w:eastAsia="Arial" w:hAnsi="Arial"/>
                <w:b/>
                <w:bCs/>
                <w:sz w:val="24"/>
                <w:szCs w:val="24"/>
              </w:rPr>
              <w:t xml:space="preserve"> кв. 2017 г. и </w:t>
            </w:r>
            <w:r>
              <w:rPr>
                <w:rFonts w:ascii="Arial" w:cs="Arial" w:eastAsia="Arial" w:hAnsi="Arial"/>
                <w:b/>
                <w:bCs/>
                <w:sz w:val="24"/>
                <w:szCs w:val="24"/>
              </w:rPr>
              <w:t xml:space="preserve">I</w:t>
            </w:r>
            <w:r>
              <w:rPr>
                <w:rFonts w:ascii="Arial" w:cs="Arial" w:eastAsia="Arial" w:hAnsi="Arial"/>
                <w:b/>
                <w:bCs/>
                <w:sz w:val="24"/>
                <w:szCs w:val="24"/>
              </w:rPr>
              <w:t xml:space="preserve"> кв. 2018 г.</w:t>
            </w:r>
          </w:p>
        </w:tc>
        <w:tc>
          <w:tcPr>
            <w:tcW w:type="dxa" w:w="684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квартал 2017 года</w:t>
            </w:r>
          </w:p>
        </w:tc>
        <w:tc>
          <w:tcPr>
            <w:tcW w:type="dxa" w:w="8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II квартал 2017 года</w:t>
            </w:r>
          </w:p>
        </w:tc>
        <w:tc>
          <w:tcPr>
            <w:tcW w:type="dxa" w:w="256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2017 года</w:t>
            </w:r>
          </w:p>
        </w:tc>
        <w:tc>
          <w:tcPr>
            <w:tcW w:type="dxa" w:w="256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2018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b/>
          <w:bCs/>
          <w:sz w:val="24"/>
          <w:szCs w:val="24"/>
        </w:rPr>
        <w:t xml:space="preserve">ЗАДАНИЕ
 ОсОО "Газпром Кыргызстан" по поставке природного газа ГП "Кыргызтеплоэнерго"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4"/>
        <w:gridCol w:w="2054"/>
        <w:gridCol w:w="861"/>
        <w:gridCol w:w="861"/>
        <w:gridCol w:w="861"/>
        <w:gridCol w:w="861"/>
        <w:gridCol w:w="861"/>
        <w:gridCol w:w="861"/>
        <w:gridCol w:w="861"/>
        <w:gridCol w:w="861"/>
      </w:tblGrid>
      <w:tr>
        <w:tc>
          <w:tcPr>
            <w:tcW w:type="dxa" w:w="1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2017 года и </w:t>
            </w:r>
            <w:r>
              <w:rPr>
                <w:rFonts w:ascii="Arial" w:cs="Arial" w:eastAsia="Arial" w:hAnsi="Arial"/>
                <w:b/>
                <w:bCs/>
                <w:sz w:val="24"/>
                <w:szCs w:val="24"/>
              </w:rPr>
              <w:t xml:space="preserve">I</w:t>
            </w:r>
            <w:r>
              <w:rPr>
                <w:rFonts w:ascii="Arial" w:cs="Arial" w:eastAsia="Arial" w:hAnsi="Arial"/>
                <w:b/>
                <w:bCs/>
                <w:sz w:val="24"/>
                <w:szCs w:val="24"/>
              </w:rPr>
              <w:t xml:space="preserve"> кв. 2018 года</w:t>
            </w:r>
          </w:p>
          <w:p>
            <w:pPr>
              <w:jc w:val="left"/>
            </w:pPr>
            <w:r>
              <w:rPr>
                <w:rFonts w:ascii="Arial" w:cs="Arial" w:eastAsia="Arial" w:hAnsi="Arial"/>
                <w:b/>
                <w:bCs/>
                <w:sz w:val="24"/>
                <w:szCs w:val="24"/>
              </w:rPr>
              <w:t xml:space="preserve">ВСЕГО</w:t>
            </w:r>
          </w:p>
        </w:tc>
        <w:tc>
          <w:tcPr>
            <w:tcW w:type="dxa" w:w="688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квартал 2017 года</w:t>
            </w:r>
          </w:p>
        </w:tc>
        <w:tc>
          <w:tcPr>
            <w:tcW w:type="dxa" w:w="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 2018 года</w:t>
            </w:r>
          </w:p>
        </w:tc>
        <w:tc>
          <w:tcPr>
            <w:tcW w:type="dxa" w:w="25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2017 года</w:t>
            </w:r>
          </w:p>
        </w:tc>
        <w:tc>
          <w:tcPr>
            <w:tcW w:type="dxa" w:w="25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r>
              <w:rPr>
                <w:rFonts w:ascii="Arial" w:cs="Arial" w:eastAsia="Arial" w:hAnsi="Arial"/>
                <w:b/>
                <w:bCs/>
                <w:sz w:val="24"/>
                <w:szCs w:val="24"/>
              </w:rPr>
              <w:t xml:space="preserve"> квартал 2018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b/>
          <w:bCs/>
          <w:sz w:val="24"/>
          <w:szCs w:val="24"/>
        </w:rPr>
        <w:t xml:space="preserve">ЗАДАНИЕ
 ОсОО "Газпром Кыргызстан" по производственно-техническим мероприятиям для подготовки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936"/>
        <w:gridCol w:w="855"/>
        <w:gridCol w:w="1433"/>
        <w:gridCol w:w="663"/>
        <w:gridCol w:w="663"/>
        <w:gridCol w:w="663"/>
        <w:gridCol w:w="663"/>
      </w:tblGrid>
      <w:tr>
        <w:tc>
          <w:tcPr>
            <w:tcW w:type="dxa" w:w="3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мероприятий, наименование работ</w:t>
            </w:r>
          </w:p>
        </w:tc>
        <w:tc>
          <w:tcPr>
            <w:tcW w:type="dxa" w:w="8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объем работ</w:t>
            </w:r>
          </w:p>
        </w:tc>
        <w:tc>
          <w:tcPr>
            <w:tcW w:type="dxa" w:w="26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16630</w:t>
            </w:r>
          </w:p>
          <w:p>
            <w:pPr>
              <w:jc w:val="left"/>
            </w:pPr>
            <w:r>
              <w:rPr>
                <w:rFonts w:ascii="Arial" w:cs="Arial" w:eastAsia="Arial" w:hAnsi="Arial"/>
                <w:sz w:val="24"/>
                <w:szCs w:val="24"/>
              </w:rPr>
              <w:t xml:space="preserve">135080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8062</w:t>
            </w:r>
          </w:p>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6701</w:t>
            </w:r>
          </w:p>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w:t>
            </w:r>
          </w:p>
          <w:p>
            <w:pPr>
              <w:jc w:val="left"/>
            </w:pPr>
            <w:r>
              <w:rPr>
                <w:rFonts w:ascii="Arial" w:cs="Arial" w:eastAsia="Arial" w:hAnsi="Arial"/>
                <w:sz w:val="24"/>
                <w:szCs w:val="24"/>
              </w:rPr>
              <w:t xml:space="preserve">19297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p>
            <w:pPr>
              <w:jc w:val="left"/>
            </w:pPr>
            <w:r>
              <w:rPr>
                <w:rFonts w:ascii="Arial" w:cs="Arial" w:eastAsia="Arial" w:hAnsi="Arial"/>
                <w:sz w:val="24"/>
                <w:szCs w:val="24"/>
              </w:rPr>
              <w:t xml:space="preserve">1568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p>
            <w:pPr>
              <w:jc w:val="left"/>
            </w:pPr>
            <w:r>
              <w:rPr>
                <w:rFonts w:ascii="Arial" w:cs="Arial" w:eastAsia="Arial" w:hAnsi="Arial"/>
                <w:sz w:val="24"/>
                <w:szCs w:val="24"/>
              </w:rPr>
              <w:t xml:space="preserve">240,1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p>
            <w:pPr>
              <w:jc w:val="left"/>
            </w:pPr>
            <w:r>
              <w:rPr>
                <w:rFonts w:ascii="Arial" w:cs="Arial" w:eastAsia="Arial" w:hAnsi="Arial"/>
                <w:sz w:val="24"/>
                <w:szCs w:val="24"/>
              </w:rPr>
              <w:t xml:space="preserve">543,9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2775</w:t>
            </w:r>
          </w:p>
          <w:p>
            <w:pPr>
              <w:jc w:val="left"/>
            </w:pPr>
            <w:r>
              <w:rPr>
                <w:rFonts w:ascii="Arial" w:cs="Arial" w:eastAsia="Arial" w:hAnsi="Arial"/>
                <w:sz w:val="24"/>
                <w:szCs w:val="24"/>
              </w:rPr>
              <w:t xml:space="preserve">543,9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p>
            <w:pPr>
              <w:jc w:val="left"/>
            </w:pPr>
            <w:r>
              <w:rPr>
                <w:rFonts w:ascii="Arial" w:cs="Arial" w:eastAsia="Arial" w:hAnsi="Arial"/>
                <w:sz w:val="24"/>
                <w:szCs w:val="24"/>
              </w:rPr>
              <w:t xml:space="preserve">240,1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588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p>
            <w:pPr>
              <w:jc w:val="left"/>
            </w:pPr>
            <w:r>
              <w:rPr>
                <w:rFonts w:ascii="Arial" w:cs="Arial" w:eastAsia="Arial" w:hAnsi="Arial"/>
                <w:sz w:val="24"/>
                <w:szCs w:val="24"/>
              </w:rPr>
              <w:t xml:space="preserve">129,56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w:t>
            </w:r>
          </w:p>
          <w:p>
            <w:pPr>
              <w:jc w:val="left"/>
            </w:pPr>
            <w:r>
              <w:rPr>
                <w:rFonts w:ascii="Arial" w:cs="Arial" w:eastAsia="Arial" w:hAnsi="Arial"/>
                <w:sz w:val="24"/>
                <w:szCs w:val="24"/>
              </w:rPr>
              <w:t xml:space="preserve">167,97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p>
            <w:pPr>
              <w:jc w:val="left"/>
            </w:pPr>
            <w:r>
              <w:rPr>
                <w:rFonts w:ascii="Arial" w:cs="Arial" w:eastAsia="Arial" w:hAnsi="Arial"/>
                <w:sz w:val="24"/>
                <w:szCs w:val="24"/>
              </w:rPr>
              <w:t xml:space="preserve">160,91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p>
            <w:pPr>
              <w:jc w:val="left"/>
            </w:pPr>
            <w:r>
              <w:rPr>
                <w:rFonts w:ascii="Arial" w:cs="Arial" w:eastAsia="Arial" w:hAnsi="Arial"/>
                <w:sz w:val="24"/>
                <w:szCs w:val="24"/>
              </w:rPr>
              <w:t xml:space="preserve">129,56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18740</w:t>
            </w:r>
          </w:p>
          <w:p>
            <w:pPr>
              <w:jc w:val="left"/>
            </w:pPr>
            <w:r>
              <w:rPr>
                <w:rFonts w:ascii="Arial" w:cs="Arial" w:eastAsia="Arial" w:hAnsi="Arial"/>
                <w:sz w:val="24"/>
                <w:szCs w:val="24"/>
              </w:rPr>
              <w:t xml:space="preserve">60856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8510 60856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3340</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p>
            <w:pPr>
              <w:jc w:val="left"/>
            </w:pPr>
            <w:r>
              <w:rPr>
                <w:rFonts w:ascii="Arial" w:cs="Arial" w:eastAsia="Arial" w:hAnsi="Arial"/>
                <w:sz w:val="24"/>
                <w:szCs w:val="24"/>
              </w:rPr>
              <w:t xml:space="preserve">1568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235,2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w:t>
            </w:r>
          </w:p>
          <w:p>
            <w:pPr>
              <w:jc w:val="left"/>
            </w:pPr>
            <w:r>
              <w:rPr>
                <w:rFonts w:ascii="Arial" w:cs="Arial" w:eastAsia="Arial" w:hAnsi="Arial"/>
                <w:sz w:val="24"/>
                <w:szCs w:val="24"/>
              </w:rPr>
              <w:t xml:space="preserve">477,65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2439</w:t>
            </w:r>
          </w:p>
          <w:p>
            <w:pPr>
              <w:jc w:val="left"/>
            </w:pPr>
            <w:r>
              <w:rPr>
                <w:rFonts w:ascii="Arial" w:cs="Arial" w:eastAsia="Arial" w:hAnsi="Arial"/>
                <w:sz w:val="24"/>
                <w:szCs w:val="24"/>
              </w:rPr>
              <w:t xml:space="preserve">478,04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w:t>
            </w:r>
          </w:p>
          <w:p>
            <w:pPr>
              <w:jc w:val="left"/>
            </w:pPr>
            <w:r>
              <w:rPr>
                <w:rFonts w:ascii="Arial" w:cs="Arial" w:eastAsia="Arial" w:hAnsi="Arial"/>
                <w:sz w:val="24"/>
                <w:szCs w:val="24"/>
              </w:rPr>
              <w:t xml:space="preserve">377,1</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548,8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137,2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w:t>
            </w:r>
          </w:p>
          <w:p>
            <w:pPr>
              <w:jc w:val="left"/>
            </w:pPr>
            <w:r>
              <w:rPr>
                <w:rFonts w:ascii="Arial" w:cs="Arial" w:eastAsia="Arial" w:hAnsi="Arial"/>
                <w:sz w:val="24"/>
                <w:szCs w:val="24"/>
              </w:rPr>
              <w:t xml:space="preserve">142,1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w:t>
            </w:r>
          </w:p>
          <w:p>
            <w:pPr>
              <w:jc w:val="left"/>
            </w:pPr>
            <w:r>
              <w:rPr>
                <w:rFonts w:ascii="Arial" w:cs="Arial" w:eastAsia="Arial" w:hAnsi="Arial"/>
                <w:sz w:val="24"/>
                <w:szCs w:val="24"/>
              </w:rPr>
              <w:t xml:space="preserve">142,1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p>
            <w:pPr>
              <w:jc w:val="left"/>
            </w:pPr>
            <w:r>
              <w:rPr>
                <w:rFonts w:ascii="Arial" w:cs="Arial" w:eastAsia="Arial" w:hAnsi="Arial"/>
                <w:sz w:val="24"/>
                <w:szCs w:val="24"/>
              </w:rPr>
              <w:t xml:space="preserve">127,4</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p>
            <w:pPr>
              <w:jc w:val="left"/>
            </w:pPr>
            <w:r>
              <w:rPr>
                <w:rFonts w:ascii="Arial" w:cs="Arial" w:eastAsia="Arial" w:hAnsi="Arial"/>
                <w:sz w:val="24"/>
                <w:szCs w:val="24"/>
              </w:rPr>
              <w:t xml:space="preserve">352,8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p>
            <w:pPr>
              <w:jc w:val="left"/>
            </w:pPr>
            <w:r>
              <w:rPr>
                <w:rFonts w:ascii="Arial" w:cs="Arial" w:eastAsia="Arial" w:hAnsi="Arial"/>
                <w:sz w:val="24"/>
                <w:szCs w:val="24"/>
              </w:rPr>
              <w:t xml:space="preserve">88,2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94,08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p>
            <w:pPr>
              <w:jc w:val="left"/>
            </w:pPr>
            <w:r>
              <w:rPr>
                <w:rFonts w:ascii="Arial" w:cs="Arial" w:eastAsia="Arial" w:hAnsi="Arial"/>
                <w:sz w:val="24"/>
                <w:szCs w:val="24"/>
              </w:rPr>
              <w:t xml:space="preserve">92,12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78,4</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распределительным сетям ОсОО "Газпром Кыргызстан", в том числе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200561,6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830,25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120173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59308,6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20249,7</w:t>
            </w: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20732</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118748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57891,5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19297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7274</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7230</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4625,6</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830,25</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1425,7</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1417,08</w:t>
            </w:r>
          </w:p>
        </w:tc>
        <w:tc>
          <w:tcPr>
            <w:tcW w:type="dxa" w:w="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952,56</w:t>
            </w:r>
          </w:p>
        </w:tc>
      </w:tr>
    </w:tbl>
    <w:p>
      <w:pPr>
        <w:spacing w:after="120"/>
        <w:jc w:val="both"/>
      </w:pPr>
      <w:r>
        <w:rPr>
          <w:rFonts w:ascii="Arial" w:cs="Arial" w:eastAsia="Arial" w:hAnsi="Arial"/>
          <w:sz w:val="24"/>
          <w:szCs w:val="24"/>
        </w:rPr>
        <w:t xml:space="preserve">Примечание: ГРП - газорегуляторный пункт;</w:t>
      </w:r>
    </w:p>
    <w:p>
      <w:pPr>
        <w:spacing w:after="120"/>
        <w:jc w:val="both"/>
      </w:pPr>
      <w:r>
        <w:rPr>
          <w:rFonts w:ascii="Arial" w:cs="Arial" w:eastAsia="Arial" w:hAnsi="Arial"/>
          <w:sz w:val="24"/>
          <w:szCs w:val="24"/>
        </w:rPr>
        <w:t xml:space="preserve">ШГРП - шкафной газорегуляторный пункт;</w:t>
      </w:r>
    </w:p>
    <w:p>
      <w:pPr>
        <w:spacing w:after="120"/>
        <w:jc w:val="both"/>
      </w:pPr>
      <w:r>
        <w:rPr>
          <w:rFonts w:ascii="Arial" w:cs="Arial" w:eastAsia="Arial" w:hAnsi="Arial"/>
          <w:sz w:val="24"/>
          <w:szCs w:val="24"/>
        </w:rPr>
        <w:t xml:space="preserve">ГРС - газорегуляторная станция;</w:t>
      </w:r>
    </w:p>
    <w:p>
      <w:pPr>
        <w:spacing w:after="120"/>
        <w:jc w:val="both"/>
      </w:pPr>
      <w:r>
        <w:rPr>
          <w:rFonts w:ascii="Arial" w:cs="Arial" w:eastAsia="Arial" w:hAnsi="Arial"/>
          <w:sz w:val="24"/>
          <w:szCs w:val="24"/>
        </w:rPr>
        <w:t xml:space="preserve">АГРС - автоматическая газорегуляторная 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b/>
          <w:bCs/>
          <w:sz w:val="24"/>
          <w:szCs w:val="24"/>
        </w:rPr>
        <w:t xml:space="preserve">ЗАДАНИЕ
 ГП "Кыргызтеплоэнерго" и КП "Бишкектеплоэнерго" и Ошскому МП "Теплоснабжение" для подготовки отопительных котельных к осенне-зимнему периоду 2017/2018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1"/>
        <w:gridCol w:w="1873"/>
        <w:gridCol w:w="954"/>
        <w:gridCol w:w="954"/>
        <w:gridCol w:w="954"/>
        <w:gridCol w:w="954"/>
      </w:tblGrid>
      <w:tr>
        <w:tc>
          <w:tcPr>
            <w:tcW w:type="dxa" w:w="44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18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котельных</w:t>
            </w:r>
          </w:p>
        </w:tc>
        <w:tc>
          <w:tcPr>
            <w:tcW w:type="dxa" w:w="3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мазуте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электроэнергии</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oatldvkmvgvuw1zrzty">
      <w:r>
        <w:rPr>
          <w:rFonts w:ascii="Arial" w:cs="Arial" w:eastAsia="Arial" w:hAnsi="Arial"/>
          <w:color w:val="132D3F"/>
          <w:sz w:val="16"/>
          <w:szCs w:val="16"/>
          <w:u w:val="single"/>
        </w:rPr>
        <w:t xml:space="preserve">dalil.kg/document/99994</w:t>
      </w:r>
    </w:hyperlink>
  </w:p>
  <w:p>
    <w:pPr>
      <w:spacing w:after="0" w:before="40"/>
      <w:jc w:val="center"/>
    </w:pPr>
    <w:hyperlink w:history="1" r:id="rIdlxilvfj-dpyym8-3diz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soany8lnsrlnpwawa8q" Type="http://schemas.openxmlformats.org/officeDocument/2006/relationships/hyperlink" Target="https://dalil.kg/document/11757" TargetMode="External"/><Relationship Id="rIdi-v0stw_m2jrfivk3btvr" Type="http://schemas.openxmlformats.org/officeDocument/2006/relationships/hyperlink" Target="https://dalil.kg/document/100153" TargetMode="External"/><Relationship Id="rIdxxybm_gne1edsyu_8_-cg" Type="http://schemas.openxmlformats.org/officeDocument/2006/relationships/hyperlink" Target="https://dalil.kg/document/11591" TargetMode="External"/><Relationship Id="rIdqfxzs_wd-2ads0ouzr-98" Type="http://schemas.openxmlformats.org/officeDocument/2006/relationships/hyperlink" Target="https://dalil.kg/document/203685" TargetMode="External"/><Relationship Id="rIdoz7cg-bkmruggsancey-x" Type="http://schemas.openxmlformats.org/officeDocument/2006/relationships/hyperlink" Target="https://dalil.kg/document/99994#&#1088;1" TargetMode="External"/><Relationship Id="rIdn_vhz_szqpjyod-xskgky" Type="http://schemas.openxmlformats.org/officeDocument/2006/relationships/hyperlink" Target="https://dalil.kg/document/111125" TargetMode="External"/><Relationship Id="rIde-maisjolkkgjxi79rcmx" Type="http://schemas.openxmlformats.org/officeDocument/2006/relationships/hyperlink" Target="https://dalil.kg/document/100153" TargetMode="External"/><Relationship Id="rIdclkjthpsdu5imzlwpomj8" Type="http://schemas.openxmlformats.org/officeDocument/2006/relationships/hyperlink" Target="https://dalil.kg/document/111496" TargetMode="External"/><Relationship Id="rIdyfjcn6j8gn-0yfymnlpae" Type="http://schemas.openxmlformats.org/officeDocument/2006/relationships/hyperlink" Target="https://dalil.kg/document/99994#&#1088;2" TargetMode="External"/><Relationship Id="rIdaivahsp0moqokcbazqro2" Type="http://schemas.openxmlformats.org/officeDocument/2006/relationships/hyperlink" Target="https://dalil.kg/document/99994#&#1088;11" TargetMode="External"/><Relationship Id="rIdqtbqr_hzybt4seify2jxd" Type="http://schemas.openxmlformats.org/officeDocument/2006/relationships/hyperlink" Target="https://dalil.kg/document/98601" TargetMode="External"/><Relationship Id="rId1gsr2z0rbwkdt7gkig6ng" Type="http://schemas.openxmlformats.org/officeDocument/2006/relationships/hyperlink" Target="https://dalil.kg/document/99469" TargetMode="External"/><Relationship Id="rIdchwwn_wol-llwqf-pky8k" Type="http://schemas.openxmlformats.org/officeDocument/2006/relationships/hyperlink" Target="https://dalil.kg/document/99718" TargetMode="External"/><Relationship Id="rIdsdy9ogn-gpz7p6fe8se98" Type="http://schemas.openxmlformats.org/officeDocument/2006/relationships/hyperlink" Target="https://dalil.kg/document/99994#&#1088;15" TargetMode="External"/><Relationship Id="rIdd5g8skz1turn43pa8jqrp" Type="http://schemas.openxmlformats.org/officeDocument/2006/relationships/hyperlink" Target="https://dalil.kg/document/99994#16" TargetMode="External"/><Relationship Id="rIdp6abes_gzkronovi7_tm3" Type="http://schemas.openxmlformats.org/officeDocument/2006/relationships/hyperlink" Target="https://dalil.kg/document/99994#&#1088;2" TargetMode="External"/><Relationship Id="rIdcml_bdexnm-rckiycjlsn" Type="http://schemas.openxmlformats.org/officeDocument/2006/relationships/hyperlink" Target="https://dalil.kg/document/99994#&#1088;11" TargetMode="External"/><Relationship Id="rIdghajn0-jw1aysu9vasrrx" Type="http://schemas.openxmlformats.org/officeDocument/2006/relationships/hyperlink" Target="https://dalil.kg/document/99994#&#1088;2" TargetMode="External"/><Relationship Id="rIdj0e2n7ihejwcrclxglfug" Type="http://schemas.openxmlformats.org/officeDocument/2006/relationships/hyperlink" Target="https://dalil.kg/document/99994#&#1088;11" TargetMode="External"/><Relationship Id="rIdo0xdm8zqqeigjea6m2c75" Type="http://schemas.openxmlformats.org/officeDocument/2006/relationships/hyperlink" Target="https://dalil.kg/document/11591" TargetMode="External"/><Relationship Id="rIdckozvzwhnaudn7_0m73dy" Type="http://schemas.openxmlformats.org/officeDocument/2006/relationships/hyperlink" Target="https://dalil.kg/document/11591" TargetMode="External"/><Relationship Id="rIduhqy29nmur_wqu9w6wga7" Type="http://schemas.openxmlformats.org/officeDocument/2006/relationships/hyperlink" Target="https://dalil.kg/document/11591" TargetMode="External"/><Relationship Id="rId-br0ook29-cptx6nehu57" Type="http://schemas.openxmlformats.org/officeDocument/2006/relationships/hyperlink" Target="https://dalil.kg/document/11591" TargetMode="External"/><Relationship Id="rIdp3mlgx6smhoyjfbcpk3g1" Type="http://schemas.openxmlformats.org/officeDocument/2006/relationships/hyperlink" Target="https://dalil.kg/document/100153" TargetMode="External"/><Relationship Id="rId859skadchk5ntpe2haahe" Type="http://schemas.openxmlformats.org/officeDocument/2006/relationships/hyperlink" Target="https://dalil.kg/document/1159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oatldvkmvgvuw1zrzty" Type="http://schemas.openxmlformats.org/officeDocument/2006/relationships/hyperlink" Target="https://dalil.kg/document/99994" TargetMode="External"/><Relationship Id="rIdlxilvfj-dpyym8-3diz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2026-09-25T09:19:09.219Z</dcterms:created>
  <dcterms:modified xsi:type="dcterms:W3CDTF">2026-09-25T09:19:09.219Z</dcterms:modified>
</cp:coreProperties>
</file>

<file path=docProps/custom.xml><?xml version="1.0" encoding="utf-8"?>
<Properties xmlns="http://schemas.openxmlformats.org/officeDocument/2006/custom-properties" xmlns:vt="http://schemas.openxmlformats.org/officeDocument/2006/docPropsVTypes"/>
</file>